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80DBD" w:rsidRPr="00BE5F5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BE5F54">
        <w:rPr>
          <w:noProof w:val="0"/>
          <w:sz w:val="64"/>
        </w:rPr>
        <w:t xml:space="preserve">ETSI </w:t>
      </w:r>
      <w:r w:rsidR="00A80DBD" w:rsidRPr="00BE5F54">
        <w:rPr>
          <w:noProof w:val="0"/>
          <w:sz w:val="64"/>
        </w:rPr>
        <w:t xml:space="preserve">TS </w:t>
      </w:r>
      <w:bookmarkStart w:id="1" w:name="docnumber"/>
      <w:r w:rsidR="00BF1EE4" w:rsidRPr="00BE5F54">
        <w:rPr>
          <w:noProof w:val="0"/>
          <w:sz w:val="64"/>
        </w:rPr>
        <w:t>1</w:t>
      </w:r>
      <w:r w:rsidR="00B1557D" w:rsidRPr="00BE5F54">
        <w:rPr>
          <w:noProof w:val="0"/>
          <w:sz w:val="64"/>
        </w:rPr>
        <w:t>03</w:t>
      </w:r>
      <w:r w:rsidR="00BF1EE4" w:rsidRPr="00BE5F54">
        <w:rPr>
          <w:noProof w:val="0"/>
          <w:sz w:val="64"/>
        </w:rPr>
        <w:t xml:space="preserve"> </w:t>
      </w:r>
      <w:bookmarkEnd w:id="1"/>
      <w:r w:rsidR="00B1557D" w:rsidRPr="00BE5F54">
        <w:rPr>
          <w:noProof w:val="0"/>
          <w:sz w:val="64"/>
        </w:rPr>
        <w:t>807</w:t>
      </w:r>
      <w:r w:rsidR="00A80DBD" w:rsidRPr="00BE5F54">
        <w:rPr>
          <w:noProof w:val="0"/>
          <w:sz w:val="64"/>
        </w:rPr>
        <w:t xml:space="preserve"> </w:t>
      </w:r>
      <w:r w:rsidR="00A80DBD" w:rsidRPr="00BE5F54">
        <w:rPr>
          <w:noProof w:val="0"/>
        </w:rPr>
        <w:t>V</w:t>
      </w:r>
      <w:bookmarkStart w:id="2" w:name="docversion"/>
      <w:r w:rsidR="00BE5F54" w:rsidRPr="00BE5F54">
        <w:rPr>
          <w:noProof w:val="0"/>
        </w:rPr>
        <w:t>1</w:t>
      </w:r>
      <w:r w:rsidR="00A80DBD" w:rsidRPr="00BE5F54">
        <w:rPr>
          <w:noProof w:val="0"/>
        </w:rPr>
        <w:t>.</w:t>
      </w:r>
      <w:r w:rsidR="00BE5F54">
        <w:rPr>
          <w:noProof w:val="0"/>
        </w:rPr>
        <w:t>0</w:t>
      </w:r>
      <w:r w:rsidR="00A80DBD" w:rsidRPr="00BE5F54">
        <w:rPr>
          <w:noProof w:val="0"/>
        </w:rPr>
        <w:t>.</w:t>
      </w:r>
      <w:bookmarkEnd w:id="2"/>
      <w:r w:rsidR="000961EB" w:rsidRPr="00BE5F54">
        <w:rPr>
          <w:noProof w:val="0"/>
        </w:rPr>
        <w:t>0</w:t>
      </w:r>
      <w:r w:rsidR="00BE5F54">
        <w:rPr>
          <w:noProof w:val="0"/>
        </w:rPr>
        <w:t>_0.</w:t>
      </w:r>
      <w:r w:rsidR="00521F39">
        <w:rPr>
          <w:noProof w:val="0"/>
        </w:rPr>
        <w:t>2</w:t>
      </w:r>
      <w:r w:rsidR="00BE5F54">
        <w:rPr>
          <w:noProof w:val="0"/>
        </w:rPr>
        <w:t>.0</w:t>
      </w:r>
      <w:r w:rsidR="00A80DBD" w:rsidRPr="00BE5F54">
        <w:rPr>
          <w:rStyle w:val="ZGSM"/>
          <w:noProof w:val="0"/>
        </w:rPr>
        <w:t xml:space="preserve"> </w:t>
      </w:r>
      <w:r w:rsidR="00A80DBD" w:rsidRPr="00BE5F54">
        <w:rPr>
          <w:noProof w:val="0"/>
          <w:sz w:val="32"/>
        </w:rPr>
        <w:t>(</w:t>
      </w:r>
      <w:bookmarkStart w:id="3" w:name="docdate"/>
      <w:r w:rsidR="000961EB" w:rsidRPr="00BE5F54">
        <w:rPr>
          <w:noProof w:val="0"/>
          <w:sz w:val="32"/>
        </w:rPr>
        <w:t>2021</w:t>
      </w:r>
      <w:r w:rsidR="00A80DBD" w:rsidRPr="00BE5F54">
        <w:rPr>
          <w:noProof w:val="0"/>
          <w:sz w:val="32"/>
        </w:rPr>
        <w:t>-</w:t>
      </w:r>
      <w:bookmarkEnd w:id="3"/>
      <w:r w:rsidR="000961EB" w:rsidRPr="00BE5F54">
        <w:rPr>
          <w:noProof w:val="0"/>
          <w:sz w:val="32"/>
        </w:rPr>
        <w:t>0</w:t>
      </w:r>
      <w:r w:rsidR="00521F39">
        <w:rPr>
          <w:noProof w:val="0"/>
          <w:sz w:val="32"/>
        </w:rPr>
        <w:t>6</w:t>
      </w:r>
      <w:r w:rsidR="00A80DBD" w:rsidRPr="00BE5F54">
        <w:rPr>
          <w:noProof w:val="0"/>
          <w:sz w:val="32"/>
          <w:szCs w:val="32"/>
        </w:rPr>
        <w:t>)</w:t>
      </w:r>
    </w:p>
    <w:p w:rsidR="00E35133" w:rsidRPr="00B83802" w:rsidRDefault="002779D4" w:rsidP="00FF3E6E">
      <w:pPr>
        <w:pStyle w:val="ZT"/>
        <w:framePr w:w="10206" w:h="3701" w:hRule="exact" w:wrap="notBeside" w:hAnchor="page" w:x="880" w:y="7094"/>
        <w:spacing w:line="240" w:lineRule="auto"/>
      </w:pPr>
      <w:bookmarkStart w:id="4" w:name="doctitle"/>
      <w:r w:rsidRPr="00B83802">
        <w:t>Task Force for European Standards for IMT-2000 (MSG)</w:t>
      </w:r>
    </w:p>
    <w:p w:rsidR="00A80DBD" w:rsidRPr="00B83802" w:rsidRDefault="0001732E" w:rsidP="00FF3E6E">
      <w:pPr>
        <w:pStyle w:val="ZT"/>
        <w:framePr w:w="10206" w:h="3701" w:hRule="exact" w:wrap="notBeside" w:hAnchor="page" w:x="880" w:y="7094"/>
        <w:spacing w:line="240" w:lineRule="auto"/>
      </w:pPr>
      <w:r w:rsidRPr="00B83802">
        <w:t>IMT cellular networks</w:t>
      </w:r>
      <w:r w:rsidR="00A80DBD" w:rsidRPr="00B83802">
        <w:t>;</w:t>
      </w:r>
    </w:p>
    <w:p w:rsidR="00A80DBD" w:rsidRPr="00B83802" w:rsidRDefault="00461D0E" w:rsidP="00FF3E6E">
      <w:pPr>
        <w:pStyle w:val="ZT"/>
        <w:framePr w:w="10206" w:h="3701" w:hRule="exact" w:wrap="notBeside" w:hAnchor="page" w:x="880" w:y="7094"/>
        <w:spacing w:line="240" w:lineRule="auto"/>
      </w:pPr>
      <w:r w:rsidRPr="00B83802">
        <w:t>Base Stations (BS)</w:t>
      </w:r>
      <w:r w:rsidR="00A80DBD" w:rsidRPr="00B83802">
        <w:t>;</w:t>
      </w:r>
    </w:p>
    <w:p w:rsidR="00A80DBD" w:rsidRPr="00E71784" w:rsidRDefault="00AF45A5" w:rsidP="00A80DBD">
      <w:pPr>
        <w:pStyle w:val="ZT"/>
        <w:framePr w:w="10206" w:h="3701" w:hRule="exact" w:wrap="notBeside" w:hAnchor="page" w:x="880" w:y="7094"/>
      </w:pPr>
      <w:r>
        <w:t xml:space="preserve">Additional </w:t>
      </w:r>
      <w:r w:rsidR="00461D0E" w:rsidRPr="00B83802">
        <w:t>Regulatory Requirements</w:t>
      </w:r>
    </w:p>
    <w:bookmarkStart w:id="5" w:name="docdiskette"/>
    <w:bookmarkEnd w:id="4"/>
    <w:p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5"/>
    </w:p>
    <w:p w:rsidR="00A80DBD" w:rsidRPr="00E71784" w:rsidRDefault="00A80DBD" w:rsidP="00A80DBD">
      <w:pPr>
        <w:pStyle w:val="ZB"/>
        <w:framePr w:wrap="notBeside" w:hAnchor="page" w:x="901" w:y="1421"/>
        <w:rPr>
          <w:noProof w:val="0"/>
        </w:rPr>
      </w:pPr>
    </w:p>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Pr>
        <w:pStyle w:val="ZB"/>
        <w:framePr w:wrap="notBeside" w:hAnchor="page" w:x="901" w:y="1421"/>
        <w:rPr>
          <w:noProof w:val="0"/>
        </w:rPr>
      </w:pPr>
    </w:p>
    <w:p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6" w:name="GSBox"/>
    </w:p>
    <w:p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7" w:name="doctypelong"/>
      <w:bookmarkEnd w:id="6"/>
      <w:r w:rsidRPr="00E71784">
        <w:rPr>
          <w:rFonts w:ascii="Century Gothic" w:hAnsi="Century Gothic"/>
          <w:b/>
          <w:i w:val="0"/>
          <w:noProof w:val="0"/>
          <w:color w:val="FFFFFF"/>
          <w:sz w:val="32"/>
          <w:szCs w:val="32"/>
        </w:rPr>
        <w:t>TECHNICAL SPECIFICATION</w:t>
      </w:r>
    </w:p>
    <w:bookmarkEnd w:id="7"/>
    <w:p w:rsidR="00A80DBD" w:rsidRPr="00E71784" w:rsidRDefault="00A80DBD" w:rsidP="00A80DBD">
      <w:pPr>
        <w:rPr>
          <w:rFonts w:ascii="Arial" w:hAnsi="Arial" w:cs="Arial"/>
          <w:sz w:val="18"/>
          <w:szCs w:val="18"/>
        </w:rPr>
        <w:sectPr w:rsidR="00A80DBD" w:rsidRPr="00E71784" w:rsidSect="00441076">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rsidR="00A80DBD" w:rsidRPr="00E71784" w:rsidRDefault="00A80DBD" w:rsidP="00A80DBD">
      <w:pPr>
        <w:pStyle w:val="FP"/>
        <w:framePr w:wrap="notBeside" w:vAnchor="page" w:hAnchor="page" w:x="1141" w:y="2836"/>
        <w:pBdr>
          <w:bottom w:val="single" w:sz="6" w:space="1" w:color="auto"/>
        </w:pBdr>
        <w:ind w:left="2835" w:right="2835"/>
        <w:jc w:val="center"/>
      </w:pPr>
      <w:bookmarkStart w:id="8" w:name="page2"/>
      <w:r w:rsidRPr="00E71784">
        <w:t>Reference</w:t>
      </w:r>
    </w:p>
    <w:p w:rsidR="00A80DBD" w:rsidRPr="00E71784" w:rsidRDefault="00A80DBD" w:rsidP="00A80DBD">
      <w:pPr>
        <w:pStyle w:val="FP"/>
        <w:framePr w:wrap="notBeside" w:vAnchor="page" w:hAnchor="page" w:x="1141" w:y="2836"/>
        <w:ind w:left="2268" w:right="2268"/>
        <w:jc w:val="center"/>
        <w:rPr>
          <w:rFonts w:ascii="Arial" w:hAnsi="Arial"/>
          <w:sz w:val="18"/>
        </w:rPr>
      </w:pPr>
      <w:bookmarkStart w:id="9" w:name="docworkitem"/>
      <w:r w:rsidRPr="00E71784">
        <w:rPr>
          <w:rFonts w:ascii="Arial" w:hAnsi="Arial"/>
          <w:sz w:val="18"/>
        </w:rPr>
        <w:t>&lt;Workitem&gt;</w:t>
      </w:r>
      <w:bookmarkEnd w:id="9"/>
    </w:p>
    <w:p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rsidR="00A80DBD" w:rsidRPr="00E71784" w:rsidRDefault="00A80DBD" w:rsidP="00A80DBD">
      <w:pPr>
        <w:pStyle w:val="FP"/>
        <w:framePr w:wrap="notBeside" w:vAnchor="page" w:hAnchor="page" w:x="1141" w:y="2836"/>
        <w:ind w:left="2835" w:right="2835"/>
        <w:jc w:val="center"/>
        <w:rPr>
          <w:rFonts w:ascii="Arial" w:hAnsi="Arial"/>
          <w:sz w:val="18"/>
        </w:rPr>
      </w:pPr>
      <w:bookmarkStart w:id="10" w:name="keywords"/>
      <w:r w:rsidRPr="00E71784">
        <w:rPr>
          <w:rFonts w:ascii="Arial" w:hAnsi="Arial"/>
          <w:sz w:val="18"/>
        </w:rPr>
        <w:t>&lt;keywords&gt;</w:t>
      </w:r>
      <w:bookmarkEnd w:id="10"/>
    </w:p>
    <w:p w:rsidR="00A80DBD" w:rsidRPr="00E71784" w:rsidRDefault="00A80DBD" w:rsidP="00A80DBD"/>
    <w:p w:rsidR="00A80DBD" w:rsidRPr="00317D04" w:rsidRDefault="00A80DBD" w:rsidP="00A80DBD">
      <w:pPr>
        <w:pStyle w:val="FP"/>
        <w:framePr w:wrap="notBeside" w:vAnchor="page" w:hAnchor="page" w:x="1156" w:y="5581"/>
        <w:spacing w:after="240"/>
        <w:ind w:left="2835" w:right="2835"/>
        <w:jc w:val="center"/>
        <w:rPr>
          <w:rFonts w:ascii="Arial" w:hAnsi="Arial"/>
          <w:b/>
          <w:i/>
          <w:lang w:val="fr-FR"/>
        </w:rPr>
      </w:pPr>
      <w:bookmarkStart w:id="11" w:name="ETSIinfo"/>
      <w:r w:rsidRPr="00317D04">
        <w:rPr>
          <w:rFonts w:ascii="Arial" w:hAnsi="Arial"/>
          <w:b/>
          <w:i/>
          <w:lang w:val="fr-FR"/>
        </w:rPr>
        <w:t>ETSI</w:t>
      </w:r>
    </w:p>
    <w:p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p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1"/>
    <w:p w:rsidR="00A80DBD" w:rsidRPr="008556B0" w:rsidRDefault="00A80DBD" w:rsidP="00A80DBD">
      <w:pPr>
        <w:rPr>
          <w:lang w:val="fr-FR"/>
        </w:rPr>
      </w:pPr>
    </w:p>
    <w:p w:rsidR="00A80DBD" w:rsidRPr="008556B0" w:rsidRDefault="00A80DBD" w:rsidP="00A80DBD">
      <w:pPr>
        <w:rPr>
          <w:lang w:val="fr-FR"/>
        </w:rPr>
      </w:pPr>
    </w:p>
    <w:bookmarkEnd w:id="8"/>
    <w:p w:rsidR="00A80DBD" w:rsidRPr="00E71784" w:rsidRDefault="00A80DBD" w:rsidP="0086712B">
      <w:pPr>
        <w:pStyle w:val="FP"/>
        <w:framePr w:h="7274"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0" w:history="1">
        <w:r w:rsidR="00E460F8" w:rsidRPr="0033683F">
          <w:rPr>
            <w:rStyle w:val="Hyperlink"/>
            <w:rFonts w:ascii="Arial" w:hAnsi="Arial"/>
            <w:sz w:val="18"/>
          </w:rPr>
          <w:t>http://www.etsi.org/standards-search</w:t>
        </w:r>
      </w:hyperlink>
    </w:p>
    <w:p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6F2C5C">
        <w:rPr>
          <w:rFonts w:ascii="Arial" w:hAnsi="Arial" w:cs="Arial"/>
          <w:sz w:val="18"/>
        </w:rPr>
        <w:t xml:space="preserve">the prevailing version of an ETSI deliverable is the one made publicly available in PDF format at </w:t>
      </w:r>
      <w:hyperlink r:id="rId11" w:history="1">
        <w:r w:rsidR="006F2C5C">
          <w:rPr>
            <w:rStyle w:val="Hyperlink"/>
            <w:rFonts w:ascii="Arial" w:hAnsi="Arial" w:cs="Arial"/>
            <w:sz w:val="18"/>
          </w:rPr>
          <w:t>www.etsi.org/deliver</w:t>
        </w:r>
      </w:hyperlink>
      <w:r w:rsidR="006F2C5C">
        <w:rPr>
          <w:rFonts w:ascii="Arial" w:hAnsi="Arial" w:cs="Arial"/>
          <w:sz w:val="18"/>
        </w:rPr>
        <w:t>.</w:t>
      </w:r>
    </w:p>
    <w:p w:rsidR="0000196F" w:rsidRPr="00444843" w:rsidRDefault="0000196F" w:rsidP="0086712B">
      <w:pPr>
        <w:pStyle w:val="FP"/>
        <w:framePr w:h="7274"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rsidR="0000196F" w:rsidRPr="00E71784" w:rsidRDefault="0000196F" w:rsidP="0086712B">
      <w:pPr>
        <w:pStyle w:val="FP"/>
        <w:framePr w:h="7274" w:hRule="exact" w:wrap="notBeside" w:vAnchor="page" w:hAnchor="page" w:x="1036" w:y="8926"/>
        <w:jc w:val="center"/>
        <w:rPr>
          <w:rFonts w:ascii="Arial" w:hAnsi="Arial" w:cs="Arial"/>
          <w:sz w:val="18"/>
        </w:rPr>
      </w:pPr>
    </w:p>
    <w:p w:rsidR="00A80DBD" w:rsidRPr="00E71784" w:rsidRDefault="00A80DBD"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 E</w:t>
      </w:r>
      <w:r w:rsidR="00EA3774">
        <w:rPr>
          <w:rFonts w:ascii="Arial" w:hAnsi="Arial" w:cs="Arial"/>
          <w:sz w:val="18"/>
        </w:rPr>
        <w:t>TSI</w:t>
      </w:r>
      <w:r w:rsidRPr="00E71784">
        <w:rPr>
          <w:rFonts w:ascii="Arial" w:hAnsi="Arial" w:cs="Arial"/>
          <w:sz w:val="18"/>
        </w:rPr>
        <w:t xml:space="preserve"> yyyy.</w:t>
      </w:r>
      <w:bookmarkStart w:id="12" w:name="copyrightaddon"/>
      <w:bookmarkEnd w:id="12"/>
    </w:p>
    <w:p w:rsidR="00A80DBD" w:rsidRPr="00E71784" w:rsidRDefault="00A80DBD" w:rsidP="0086712B">
      <w:pPr>
        <w:pStyle w:val="FP"/>
        <w:framePr w:h="7274" w:hRule="exact" w:wrap="notBeside" w:vAnchor="page" w:hAnchor="page" w:x="1036" w:y="8926"/>
        <w:jc w:val="center"/>
        <w:rPr>
          <w:rFonts w:ascii="Arial" w:hAnsi="Arial" w:cs="Arial"/>
          <w:sz w:val="18"/>
        </w:rPr>
      </w:pPr>
      <w:bookmarkStart w:id="13" w:name="tbcopyright"/>
      <w:bookmarkEnd w:id="13"/>
      <w:r w:rsidRPr="00E71784">
        <w:rPr>
          <w:rFonts w:ascii="Arial" w:hAnsi="Arial" w:cs="Arial"/>
          <w:sz w:val="18"/>
        </w:rPr>
        <w:t>All rights reserved.</w:t>
      </w:r>
      <w:r w:rsidRPr="00E71784">
        <w:rPr>
          <w:rFonts w:ascii="Arial" w:hAnsi="Arial" w:cs="Arial"/>
          <w:sz w:val="18"/>
        </w:rPr>
        <w:br/>
      </w:r>
    </w:p>
    <w:p w:rsidR="00A80DBD" w:rsidRPr="00E71784" w:rsidRDefault="00A80DBD" w:rsidP="0086712B">
      <w:pPr>
        <w:framePr w:h="7274"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00860081">
        <w:rPr>
          <w:rFonts w:ascii="Arial" w:hAnsi="Arial" w:cs="Arial"/>
          <w:sz w:val="18"/>
          <w:szCs w:val="18"/>
        </w:rPr>
        <w:t xml:space="preserve"> and the ETSI logo are tradem</w:t>
      </w:r>
      <w:r w:rsidRPr="00E71784">
        <w:rPr>
          <w:rFonts w:ascii="Arial" w:hAnsi="Arial" w:cs="Arial"/>
          <w:sz w:val="18"/>
          <w:szCs w:val="18"/>
        </w:rPr>
        <w:t>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00B6617B" w:rsidRPr="00E71784">
        <w:rPr>
          <w:rFonts w:ascii="Arial" w:hAnsi="Arial" w:cs="Arial"/>
          <w:sz w:val="18"/>
          <w:szCs w:val="18"/>
          <w:vertAlign w:val="superscript"/>
        </w:rPr>
        <w:t>TM</w:t>
      </w:r>
      <w:r w:rsidR="00860081">
        <w:rPr>
          <w:rFonts w:ascii="Arial" w:hAnsi="Arial" w:cs="Arial"/>
          <w:sz w:val="18"/>
          <w:szCs w:val="18"/>
        </w:rPr>
        <w:t xml:space="preserve"> are tradem</w:t>
      </w:r>
      <w:r w:rsidRPr="00E71784">
        <w:rPr>
          <w:rFonts w:ascii="Arial" w:hAnsi="Arial" w:cs="Arial"/>
          <w:sz w:val="18"/>
          <w:szCs w:val="18"/>
        </w:rPr>
        <w:t>arks of ETSI registered for the benefit of its Members and</w:t>
      </w:r>
      <w:r w:rsidRPr="00E71784">
        <w:rPr>
          <w:rFonts w:ascii="Arial" w:hAnsi="Arial" w:cs="Arial"/>
          <w:sz w:val="18"/>
          <w:szCs w:val="18"/>
        </w:rPr>
        <w:br/>
        <w:t>of the 3GPP Organizational Partners.</w:t>
      </w:r>
      <w:r w:rsidR="00EA3774">
        <w:rPr>
          <w:rFonts w:ascii="Arial" w:hAnsi="Arial" w:cs="Arial"/>
          <w:sz w:val="18"/>
          <w:szCs w:val="18"/>
        </w:rPr>
        <w:br/>
      </w:r>
      <w:r w:rsidR="009B5FE7">
        <w:rPr>
          <w:rFonts w:ascii="Arial" w:hAnsi="Arial" w:cs="Arial"/>
          <w:b/>
          <w:bCs/>
          <w:sz w:val="18"/>
          <w:szCs w:val="18"/>
        </w:rPr>
        <w:t>oneM2M™</w:t>
      </w:r>
      <w:r w:rsidR="009B5FE7">
        <w:rPr>
          <w:rFonts w:ascii="Arial" w:hAnsi="Arial" w:cs="Arial"/>
          <w:sz w:val="18"/>
          <w:szCs w:val="18"/>
        </w:rPr>
        <w:t xml:space="preserve"> logo is a trademark of ETSI registered for the benefit of its Members and</w:t>
      </w:r>
      <w:r w:rsidR="009B5FE7">
        <w:rPr>
          <w:rFonts w:ascii="Arial" w:hAnsi="Arial" w:cs="Arial"/>
          <w:sz w:val="18"/>
          <w:szCs w:val="18"/>
        </w:rPr>
        <w:br/>
        <w:t>of the oneM2M Partners</w:t>
      </w:r>
      <w:r w:rsidR="00711235">
        <w:rPr>
          <w:rFonts w:ascii="Arial" w:hAnsi="Arial" w:cs="Arial"/>
          <w:sz w:val="18"/>
          <w:szCs w:val="18"/>
        </w:rPr>
        <w:t>.</w:t>
      </w:r>
      <w:r w:rsidRPr="00E71784">
        <w:rPr>
          <w:rFonts w:ascii="Arial" w:hAnsi="Arial" w:cs="Arial"/>
          <w:sz w:val="18"/>
          <w:szCs w:val="18"/>
        </w:rPr>
        <w:br/>
      </w:r>
      <w:r w:rsidRPr="00E71784">
        <w:rPr>
          <w:rFonts w:ascii="Arial" w:hAnsi="Arial" w:cs="Arial"/>
          <w:b/>
          <w:bCs/>
          <w:sz w:val="18"/>
          <w:szCs w:val="18"/>
        </w:rPr>
        <w:t>GSM</w:t>
      </w:r>
      <w:r w:rsidR="00860081" w:rsidRPr="006871A9">
        <w:rPr>
          <w:rFonts w:ascii="Arial" w:hAnsi="Arial" w:cs="Arial"/>
          <w:sz w:val="18"/>
          <w:szCs w:val="18"/>
          <w:vertAlign w:val="superscript"/>
        </w:rPr>
        <w:t>®</w:t>
      </w:r>
      <w:r w:rsidR="00860081">
        <w:rPr>
          <w:rFonts w:ascii="Arial" w:hAnsi="Arial" w:cs="Arial"/>
          <w:sz w:val="18"/>
          <w:szCs w:val="18"/>
        </w:rPr>
        <w:t xml:space="preserve"> and the GSM logo are tradem</w:t>
      </w:r>
      <w:r w:rsidRPr="00E71784">
        <w:rPr>
          <w:rFonts w:ascii="Arial" w:hAnsi="Arial" w:cs="Arial"/>
          <w:sz w:val="18"/>
          <w:szCs w:val="18"/>
        </w:rPr>
        <w:t>arks registered and owned by the GSM Association.</w:t>
      </w:r>
    </w:p>
    <w:p w:rsidR="00A301A6" w:rsidRPr="00F52C10" w:rsidRDefault="00D626BF" w:rsidP="00F52C10">
      <w:pPr>
        <w:pStyle w:val="TT"/>
      </w:pPr>
      <w:r w:rsidRPr="00E71784">
        <w:br w:type="page"/>
      </w:r>
      <w:bookmarkStart w:id="14" w:name="_Toc451533942"/>
      <w:bookmarkStart w:id="15" w:name="_Toc484178377"/>
      <w:bookmarkStart w:id="16" w:name="_Toc484178407"/>
      <w:bookmarkEnd w:id="0"/>
      <w:r w:rsidR="00A301A6" w:rsidRPr="00F52C10">
        <w:t>Contents</w:t>
      </w:r>
      <w:bookmarkEnd w:id="14"/>
      <w:bookmarkEnd w:id="15"/>
      <w:bookmarkEnd w:id="16"/>
    </w:p>
    <w:p w:rsidR="00CC22E7" w:rsidRDefault="00F059B0">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CC22E7">
        <w:t>Intellectual Property Rights</w:t>
      </w:r>
      <w:r w:rsidR="00CC22E7">
        <w:tab/>
      </w:r>
      <w:r w:rsidR="00CC22E7">
        <w:fldChar w:fldCharType="begin"/>
      </w:r>
      <w:r w:rsidR="00CC22E7">
        <w:instrText xml:space="preserve"> PAGEREF _Toc66272906 \h </w:instrText>
      </w:r>
      <w:r w:rsidR="00CC22E7">
        <w:fldChar w:fldCharType="separate"/>
      </w:r>
      <w:r w:rsidR="00CC22E7">
        <w:t>4</w:t>
      </w:r>
      <w:r w:rsidR="00CC22E7">
        <w:fldChar w:fldCharType="end"/>
      </w:r>
    </w:p>
    <w:p w:rsidR="00CC22E7" w:rsidRDefault="00CC22E7">
      <w:pPr>
        <w:pStyle w:val="TOC1"/>
        <w:rPr>
          <w:rFonts w:asciiTheme="minorHAnsi" w:eastAsiaTheme="minorEastAsia" w:hAnsiTheme="minorHAnsi" w:cstheme="minorBidi"/>
          <w:szCs w:val="22"/>
          <w:lang w:eastAsia="en-GB"/>
        </w:rPr>
      </w:pPr>
      <w:r>
        <w:t>Foreword</w:t>
      </w:r>
      <w:r>
        <w:tab/>
      </w:r>
      <w:r>
        <w:fldChar w:fldCharType="begin"/>
      </w:r>
      <w:r>
        <w:instrText xml:space="preserve"> PAGEREF _Toc66272907 \h </w:instrText>
      </w:r>
      <w:r>
        <w:fldChar w:fldCharType="separate"/>
      </w:r>
      <w:r>
        <w:t>4</w:t>
      </w:r>
      <w:r>
        <w:fldChar w:fldCharType="end"/>
      </w:r>
    </w:p>
    <w:p w:rsidR="00CC22E7" w:rsidRDefault="00CC22E7">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_Toc66272908 \h </w:instrText>
      </w:r>
      <w:r>
        <w:fldChar w:fldCharType="separate"/>
      </w:r>
      <w:r>
        <w:t>4</w:t>
      </w:r>
      <w:r>
        <w:fldChar w:fldCharType="end"/>
      </w:r>
    </w:p>
    <w:p w:rsidR="00CC22E7" w:rsidRDefault="00CC22E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_Toc66272909 \h </w:instrText>
      </w:r>
      <w:r>
        <w:fldChar w:fldCharType="separate"/>
      </w:r>
      <w:r>
        <w:t>4</w:t>
      </w:r>
      <w:r>
        <w:fldChar w:fldCharType="end"/>
      </w:r>
    </w:p>
    <w:p w:rsidR="00CC22E7" w:rsidRDefault="00CC22E7">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_Toc66272910 \h </w:instrText>
      </w:r>
      <w:r>
        <w:fldChar w:fldCharType="separate"/>
      </w:r>
      <w:r>
        <w:t>5</w:t>
      </w:r>
      <w:r>
        <w:fldChar w:fldCharType="end"/>
      </w:r>
    </w:p>
    <w:p w:rsidR="00CC22E7" w:rsidRDefault="00CC22E7">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_Toc66272911 \h </w:instrText>
      </w:r>
      <w:r>
        <w:fldChar w:fldCharType="separate"/>
      </w:r>
      <w:r>
        <w:t>5</w:t>
      </w:r>
      <w:r>
        <w:fldChar w:fldCharType="end"/>
      </w:r>
    </w:p>
    <w:p w:rsidR="00CC22E7" w:rsidRDefault="00CC22E7">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_Toc66272912 \h </w:instrText>
      </w:r>
      <w:r>
        <w:fldChar w:fldCharType="separate"/>
      </w:r>
      <w:r>
        <w:t>5</w:t>
      </w:r>
      <w:r>
        <w:fldChar w:fldCharType="end"/>
      </w:r>
    </w:p>
    <w:p w:rsidR="00CC22E7" w:rsidRDefault="00CC22E7">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_Toc66272913 \h </w:instrText>
      </w:r>
      <w:r>
        <w:fldChar w:fldCharType="separate"/>
      </w:r>
      <w:r>
        <w:t>6</w:t>
      </w:r>
      <w:r>
        <w:fldChar w:fldCharType="end"/>
      </w:r>
    </w:p>
    <w:p w:rsidR="00CC22E7" w:rsidRDefault="00CC22E7">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_Toc66272914 \h </w:instrText>
      </w:r>
      <w:r>
        <w:fldChar w:fldCharType="separate"/>
      </w:r>
      <w:r>
        <w:t>6</w:t>
      </w:r>
      <w:r>
        <w:fldChar w:fldCharType="end"/>
      </w:r>
    </w:p>
    <w:p w:rsidR="00CC22E7" w:rsidRDefault="00CC22E7">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_Toc66272915 \h </w:instrText>
      </w:r>
      <w:r>
        <w:fldChar w:fldCharType="separate"/>
      </w:r>
      <w:r>
        <w:t>6</w:t>
      </w:r>
      <w:r>
        <w:fldChar w:fldCharType="end"/>
      </w:r>
    </w:p>
    <w:p w:rsidR="00CC22E7" w:rsidRDefault="00CC22E7">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_Toc66272916 \h </w:instrText>
      </w:r>
      <w:r>
        <w:fldChar w:fldCharType="separate"/>
      </w:r>
      <w:r>
        <w:t>6</w:t>
      </w:r>
      <w:r>
        <w:fldChar w:fldCharType="end"/>
      </w:r>
    </w:p>
    <w:p w:rsidR="00CC22E7" w:rsidRDefault="00CC22E7">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_Toc66272917 \h </w:instrText>
      </w:r>
      <w:r>
        <w:fldChar w:fldCharType="separate"/>
      </w:r>
      <w:r>
        <w:t>6</w:t>
      </w:r>
      <w:r>
        <w:fldChar w:fldCharType="end"/>
      </w:r>
    </w:p>
    <w:p w:rsidR="00CC22E7" w:rsidRDefault="00CC22E7">
      <w:pPr>
        <w:pStyle w:val="TOC1"/>
        <w:rPr>
          <w:rFonts w:asciiTheme="minorHAnsi" w:eastAsiaTheme="minorEastAsia" w:hAnsiTheme="minorHAnsi" w:cstheme="minorBidi"/>
          <w:szCs w:val="22"/>
          <w:lang w:eastAsia="en-GB"/>
        </w:rPr>
      </w:pPr>
      <w:r>
        <w:t>4</w:t>
      </w:r>
      <w:r>
        <w:tab/>
        <w:t>Regulatory requirements</w:t>
      </w:r>
      <w:r>
        <w:tab/>
      </w:r>
      <w:r>
        <w:fldChar w:fldCharType="begin"/>
      </w:r>
      <w:r>
        <w:instrText xml:space="preserve"> PAGEREF _Toc66272918 \h </w:instrText>
      </w:r>
      <w:r>
        <w:fldChar w:fldCharType="separate"/>
      </w:r>
      <w:r>
        <w:t>6</w:t>
      </w:r>
      <w:r>
        <w:fldChar w:fldCharType="end"/>
      </w:r>
    </w:p>
    <w:p w:rsidR="00CC22E7" w:rsidRDefault="00CC22E7">
      <w:pPr>
        <w:pStyle w:val="TOC2"/>
        <w:rPr>
          <w:rFonts w:asciiTheme="minorHAnsi" w:eastAsiaTheme="minorEastAsia" w:hAnsiTheme="minorHAnsi" w:cstheme="minorBidi"/>
          <w:sz w:val="22"/>
          <w:szCs w:val="22"/>
          <w:lang w:eastAsia="en-GB"/>
        </w:rPr>
      </w:pPr>
      <w:r>
        <w:t>4.1</w:t>
      </w:r>
      <w:r>
        <w:tab/>
        <w:t>Enhanced Selectivity for Band 1 BSs</w:t>
      </w:r>
      <w:r>
        <w:tab/>
      </w:r>
      <w:r>
        <w:fldChar w:fldCharType="begin"/>
      </w:r>
      <w:r>
        <w:instrText xml:space="preserve"> PAGEREF _Toc66272919 \h </w:instrText>
      </w:r>
      <w:r>
        <w:fldChar w:fldCharType="separate"/>
      </w:r>
      <w:r>
        <w:t>6</w:t>
      </w:r>
      <w:r>
        <w:fldChar w:fldCharType="end"/>
      </w:r>
    </w:p>
    <w:p w:rsidR="00CC22E7" w:rsidRDefault="00CC22E7">
      <w:pPr>
        <w:pStyle w:val="TOC3"/>
        <w:rPr>
          <w:rFonts w:asciiTheme="minorHAnsi" w:eastAsiaTheme="minorEastAsia" w:hAnsiTheme="minorHAnsi" w:cstheme="minorBidi"/>
          <w:sz w:val="22"/>
          <w:szCs w:val="22"/>
          <w:lang w:eastAsia="en-GB"/>
        </w:rPr>
      </w:pPr>
      <w:r>
        <w:t>4.1.1</w:t>
      </w:r>
      <w:r>
        <w:tab/>
        <w:t>Limits</w:t>
      </w:r>
      <w:r>
        <w:tab/>
      </w:r>
      <w:r>
        <w:fldChar w:fldCharType="begin"/>
      </w:r>
      <w:r>
        <w:instrText xml:space="preserve"> PAGEREF _Toc66272920 \h </w:instrText>
      </w:r>
      <w:r>
        <w:fldChar w:fldCharType="separate"/>
      </w:r>
      <w:r>
        <w:t>7</w:t>
      </w:r>
      <w:r>
        <w:fldChar w:fldCharType="end"/>
      </w:r>
    </w:p>
    <w:p w:rsidR="00CC22E7" w:rsidRDefault="00CC22E7">
      <w:pPr>
        <w:pStyle w:val="TOC3"/>
        <w:rPr>
          <w:rFonts w:asciiTheme="minorHAnsi" w:eastAsiaTheme="minorEastAsia" w:hAnsiTheme="minorHAnsi" w:cstheme="minorBidi"/>
          <w:sz w:val="22"/>
          <w:szCs w:val="22"/>
          <w:lang w:eastAsia="en-GB"/>
        </w:rPr>
      </w:pPr>
      <w:r>
        <w:t>4.1.2</w:t>
      </w:r>
      <w:r>
        <w:tab/>
        <w:t>Testing for compliance with technical requirements</w:t>
      </w:r>
      <w:r>
        <w:tab/>
      </w:r>
      <w:r>
        <w:fldChar w:fldCharType="begin"/>
      </w:r>
      <w:r>
        <w:instrText xml:space="preserve"> PAGEREF _Toc66272921 \h </w:instrText>
      </w:r>
      <w:r>
        <w:fldChar w:fldCharType="separate"/>
      </w:r>
      <w:r>
        <w:t>8</w:t>
      </w:r>
      <w:r>
        <w:fldChar w:fldCharType="end"/>
      </w:r>
    </w:p>
    <w:p w:rsidR="00CC22E7" w:rsidRDefault="00CC22E7">
      <w:pPr>
        <w:pStyle w:val="TOC2"/>
        <w:rPr>
          <w:rFonts w:asciiTheme="minorHAnsi" w:eastAsiaTheme="minorEastAsia" w:hAnsiTheme="minorHAnsi" w:cstheme="minorBidi"/>
          <w:sz w:val="22"/>
          <w:szCs w:val="22"/>
          <w:lang w:eastAsia="en-GB"/>
        </w:rPr>
      </w:pPr>
      <w:r>
        <w:t>4.2</w:t>
      </w:r>
      <w:r>
        <w:tab/>
        <w:t>Limits below 3400 MHz for protection of radiolocation for country-specific cases</w:t>
      </w:r>
      <w:r>
        <w:tab/>
      </w:r>
      <w:r>
        <w:fldChar w:fldCharType="begin"/>
      </w:r>
      <w:r>
        <w:instrText xml:space="preserve"> PAGEREF _Toc66272922 \h </w:instrText>
      </w:r>
      <w:r>
        <w:fldChar w:fldCharType="separate"/>
      </w:r>
      <w:r>
        <w:t>8</w:t>
      </w:r>
      <w:r>
        <w:fldChar w:fldCharType="end"/>
      </w:r>
    </w:p>
    <w:p w:rsidR="00CC22E7" w:rsidRDefault="00CC22E7">
      <w:pPr>
        <w:pStyle w:val="TOC3"/>
        <w:rPr>
          <w:rFonts w:asciiTheme="minorHAnsi" w:eastAsiaTheme="minorEastAsia" w:hAnsiTheme="minorHAnsi" w:cstheme="minorBidi"/>
          <w:sz w:val="22"/>
          <w:szCs w:val="22"/>
          <w:lang w:eastAsia="en-GB"/>
        </w:rPr>
      </w:pPr>
      <w:r>
        <w:t>4.2.1</w:t>
      </w:r>
      <w:r>
        <w:tab/>
        <w:t>Limits</w:t>
      </w:r>
      <w:r>
        <w:tab/>
      </w:r>
      <w:r>
        <w:fldChar w:fldCharType="begin"/>
      </w:r>
      <w:r>
        <w:instrText xml:space="preserve"> PAGEREF _Toc66272923 \h </w:instrText>
      </w:r>
      <w:r>
        <w:fldChar w:fldCharType="separate"/>
      </w:r>
      <w:r>
        <w:t>9</w:t>
      </w:r>
      <w:r>
        <w:fldChar w:fldCharType="end"/>
      </w:r>
    </w:p>
    <w:p w:rsidR="00CC22E7" w:rsidRDefault="00CC22E7">
      <w:pPr>
        <w:pStyle w:val="TOC3"/>
        <w:rPr>
          <w:rFonts w:asciiTheme="minorHAnsi" w:eastAsiaTheme="minorEastAsia" w:hAnsiTheme="minorHAnsi" w:cstheme="minorBidi"/>
          <w:sz w:val="22"/>
          <w:szCs w:val="22"/>
          <w:lang w:eastAsia="en-GB"/>
        </w:rPr>
      </w:pPr>
      <w:r>
        <w:t>4.2.2</w:t>
      </w:r>
      <w:r>
        <w:tab/>
        <w:t>Testing for compliance with technical requirements</w:t>
      </w:r>
      <w:r>
        <w:tab/>
      </w:r>
      <w:r>
        <w:fldChar w:fldCharType="begin"/>
      </w:r>
      <w:r>
        <w:instrText xml:space="preserve"> PAGEREF _Toc66272924 \h </w:instrText>
      </w:r>
      <w:r>
        <w:fldChar w:fldCharType="separate"/>
      </w:r>
      <w:r>
        <w:t>9</w:t>
      </w:r>
      <w:r>
        <w:fldChar w:fldCharType="end"/>
      </w:r>
    </w:p>
    <w:p w:rsidR="00CC22E7" w:rsidRDefault="00CC22E7">
      <w:pPr>
        <w:pStyle w:val="TOC2"/>
        <w:rPr>
          <w:rFonts w:asciiTheme="minorHAnsi" w:eastAsiaTheme="minorEastAsia" w:hAnsiTheme="minorHAnsi" w:cstheme="minorBidi"/>
          <w:sz w:val="22"/>
          <w:szCs w:val="22"/>
          <w:lang w:eastAsia="en-GB"/>
        </w:rPr>
      </w:pPr>
      <w:r>
        <w:t>4.3</w:t>
      </w:r>
      <w:r>
        <w:tab/>
        <w:t>Requirements above 2690 MHz for protection of the Radio Astronomy Service</w:t>
      </w:r>
      <w:r>
        <w:tab/>
      </w:r>
      <w:r>
        <w:fldChar w:fldCharType="begin"/>
      </w:r>
      <w:r>
        <w:instrText xml:space="preserve"> PAGEREF _Toc66272925 \h </w:instrText>
      </w:r>
      <w:r>
        <w:fldChar w:fldCharType="separate"/>
      </w:r>
      <w:r>
        <w:t>9</w:t>
      </w:r>
      <w:r>
        <w:fldChar w:fldCharType="end"/>
      </w:r>
    </w:p>
    <w:p w:rsidR="00CC22E7" w:rsidRDefault="00CC22E7">
      <w:pPr>
        <w:pStyle w:val="TOC3"/>
        <w:rPr>
          <w:rFonts w:asciiTheme="minorHAnsi" w:eastAsiaTheme="minorEastAsia" w:hAnsiTheme="minorHAnsi" w:cstheme="minorBidi"/>
          <w:sz w:val="22"/>
          <w:szCs w:val="22"/>
          <w:lang w:eastAsia="en-GB"/>
        </w:rPr>
      </w:pPr>
      <w:r>
        <w:t>4.3.1</w:t>
      </w:r>
      <w:r>
        <w:tab/>
        <w:t>Limits</w:t>
      </w:r>
      <w:r>
        <w:tab/>
      </w:r>
      <w:r>
        <w:fldChar w:fldCharType="begin"/>
      </w:r>
      <w:r>
        <w:instrText xml:space="preserve"> PAGEREF _Toc66272926 \h </w:instrText>
      </w:r>
      <w:r>
        <w:fldChar w:fldCharType="separate"/>
      </w:r>
      <w:r>
        <w:t>9</w:t>
      </w:r>
      <w:r>
        <w:fldChar w:fldCharType="end"/>
      </w:r>
    </w:p>
    <w:p w:rsidR="00CC22E7" w:rsidRDefault="00CC22E7">
      <w:pPr>
        <w:pStyle w:val="TOC3"/>
        <w:rPr>
          <w:rFonts w:asciiTheme="minorHAnsi" w:eastAsiaTheme="minorEastAsia" w:hAnsiTheme="minorHAnsi" w:cstheme="minorBidi"/>
          <w:sz w:val="22"/>
          <w:szCs w:val="22"/>
          <w:lang w:eastAsia="en-GB"/>
        </w:rPr>
      </w:pPr>
      <w:r>
        <w:t>4.3.2</w:t>
      </w:r>
      <w:r>
        <w:tab/>
        <w:t>Testing for compliance with technical requirements</w:t>
      </w:r>
      <w:r>
        <w:tab/>
      </w:r>
      <w:r>
        <w:fldChar w:fldCharType="begin"/>
      </w:r>
      <w:r>
        <w:instrText xml:space="preserve"> PAGEREF _Toc66272927 \h </w:instrText>
      </w:r>
      <w:r>
        <w:fldChar w:fldCharType="separate"/>
      </w:r>
      <w:r>
        <w:t>10</w:t>
      </w:r>
      <w:r>
        <w:fldChar w:fldCharType="end"/>
      </w:r>
    </w:p>
    <w:p w:rsidR="00CC22E7" w:rsidRDefault="00CC22E7">
      <w:pPr>
        <w:pStyle w:val="TOC8"/>
        <w:rPr>
          <w:rFonts w:asciiTheme="minorHAnsi" w:eastAsiaTheme="minorEastAsia" w:hAnsiTheme="minorHAnsi" w:cstheme="minorBidi"/>
          <w:b w:val="0"/>
          <w:szCs w:val="22"/>
          <w:lang w:eastAsia="en-GB"/>
        </w:rPr>
      </w:pPr>
      <w:r>
        <w:t xml:space="preserve">Annex A </w:t>
      </w:r>
      <w:r w:rsidRPr="00E903A8">
        <w:rPr>
          <w:color w:val="000000"/>
        </w:rPr>
        <w:t>(normative</w:t>
      </w:r>
      <w:r w:rsidRPr="00E903A8">
        <w:rPr>
          <w:color w:val="76923C"/>
        </w:rPr>
        <w:t xml:space="preserve"> or </w:t>
      </w:r>
      <w:r w:rsidRPr="00E903A8">
        <w:rPr>
          <w:color w:val="000000"/>
        </w:rPr>
        <w:t>informative)</w:t>
      </w:r>
      <w:r>
        <w:t>: Title of annex</w:t>
      </w:r>
      <w:r>
        <w:tab/>
      </w:r>
      <w:r>
        <w:fldChar w:fldCharType="begin"/>
      </w:r>
      <w:r>
        <w:instrText xml:space="preserve"> PAGEREF _Toc66272928 \h </w:instrText>
      </w:r>
      <w:r>
        <w:fldChar w:fldCharType="separate"/>
      </w:r>
      <w:r>
        <w:t>10</w:t>
      </w:r>
      <w:r>
        <w:fldChar w:fldCharType="end"/>
      </w:r>
    </w:p>
    <w:p w:rsidR="00CC22E7" w:rsidRDefault="00CC22E7">
      <w:pPr>
        <w:pStyle w:val="TOC8"/>
        <w:rPr>
          <w:rFonts w:asciiTheme="minorHAnsi" w:eastAsiaTheme="minorEastAsia" w:hAnsiTheme="minorHAnsi" w:cstheme="minorBidi"/>
          <w:b w:val="0"/>
          <w:szCs w:val="22"/>
          <w:lang w:eastAsia="en-GB"/>
        </w:rPr>
      </w:pPr>
      <w:r>
        <w:t xml:space="preserve">Annex </w:t>
      </w:r>
      <w:r w:rsidRPr="00E903A8">
        <w:rPr>
          <w:color w:val="000000"/>
        </w:rPr>
        <w:t>(informative)</w:t>
      </w:r>
      <w:r>
        <w:t>: Bibliography</w:t>
      </w:r>
      <w:r>
        <w:tab/>
      </w:r>
      <w:r>
        <w:fldChar w:fldCharType="begin"/>
      </w:r>
      <w:r>
        <w:instrText xml:space="preserve"> PAGEREF _Toc66272929 \h </w:instrText>
      </w:r>
      <w:r>
        <w:fldChar w:fldCharType="separate"/>
      </w:r>
      <w:r>
        <w:t>11</w:t>
      </w:r>
      <w:r>
        <w:fldChar w:fldCharType="end"/>
      </w:r>
    </w:p>
    <w:p w:rsidR="00CC22E7" w:rsidRDefault="00CC22E7">
      <w:pPr>
        <w:pStyle w:val="TOC8"/>
        <w:rPr>
          <w:rFonts w:asciiTheme="minorHAnsi" w:eastAsiaTheme="minorEastAsia" w:hAnsiTheme="minorHAnsi" w:cstheme="minorBidi"/>
          <w:b w:val="0"/>
          <w:szCs w:val="22"/>
          <w:lang w:eastAsia="en-GB"/>
        </w:rPr>
      </w:pPr>
      <w:r>
        <w:t xml:space="preserve">Annex </w:t>
      </w:r>
      <w:r w:rsidRPr="00E903A8">
        <w:rPr>
          <w:color w:val="000000"/>
        </w:rPr>
        <w:t>(informative)</w:t>
      </w:r>
      <w:r>
        <w:t>: Change History</w:t>
      </w:r>
      <w:r>
        <w:tab/>
      </w:r>
      <w:r>
        <w:fldChar w:fldCharType="begin"/>
      </w:r>
      <w:r>
        <w:instrText xml:space="preserve"> PAGEREF _Toc66272930 \h </w:instrText>
      </w:r>
      <w:r>
        <w:fldChar w:fldCharType="separate"/>
      </w:r>
      <w:r>
        <w:t>12</w:t>
      </w:r>
      <w:r>
        <w:fldChar w:fldCharType="end"/>
      </w:r>
    </w:p>
    <w:p w:rsidR="00CC22E7" w:rsidRDefault="00CC22E7">
      <w:pPr>
        <w:pStyle w:val="TOC1"/>
        <w:rPr>
          <w:rFonts w:asciiTheme="minorHAnsi" w:eastAsiaTheme="minorEastAsia" w:hAnsiTheme="minorHAnsi" w:cstheme="minorBidi"/>
          <w:szCs w:val="22"/>
          <w:lang w:eastAsia="en-GB"/>
        </w:rPr>
      </w:pPr>
      <w:r>
        <w:t>History</w:t>
      </w:r>
      <w:r>
        <w:tab/>
      </w:r>
      <w:r>
        <w:fldChar w:fldCharType="begin"/>
      </w:r>
      <w:r>
        <w:instrText xml:space="preserve"> PAGEREF _Toc66272931 \h </w:instrText>
      </w:r>
      <w:r>
        <w:fldChar w:fldCharType="separate"/>
      </w:r>
      <w:r>
        <w:t>13</w:t>
      </w:r>
      <w:r>
        <w:fldChar w:fldCharType="end"/>
      </w:r>
    </w:p>
    <w:p w:rsidR="00D626BF" w:rsidRPr="00E71784" w:rsidRDefault="00F059B0">
      <w:r>
        <w:fldChar w:fldCharType="end"/>
      </w:r>
    </w:p>
    <w:p w:rsidR="00FF3E6E" w:rsidRPr="00E71784" w:rsidRDefault="00D626BF" w:rsidP="00A301A6">
      <w:pPr>
        <w:spacing w:after="0"/>
        <w:ind w:left="-567"/>
        <w:rPr>
          <w:rStyle w:val="Guidance"/>
          <w:noProof w:val="0"/>
          <w:lang w:val="en-GB"/>
        </w:rPr>
      </w:pPr>
      <w:r w:rsidRPr="00E71784">
        <w:br w:type="page"/>
      </w:r>
    </w:p>
    <w:p w:rsidR="00A301A6" w:rsidRPr="00E71784" w:rsidRDefault="00A301A6" w:rsidP="00A301A6">
      <w:pPr>
        <w:pStyle w:val="Heading1"/>
      </w:pPr>
      <w:bookmarkStart w:id="17" w:name="_Toc451533943"/>
      <w:bookmarkStart w:id="18" w:name="_Toc484178378"/>
      <w:bookmarkStart w:id="19" w:name="_Toc484178408"/>
      <w:bookmarkStart w:id="20" w:name="_Toc487531992"/>
      <w:bookmarkStart w:id="21" w:name="_Toc527987190"/>
      <w:bookmarkStart w:id="22" w:name="_Toc66272906"/>
      <w:r w:rsidRPr="00E71784">
        <w:t>Intellectual Property Rights</w:t>
      </w:r>
      <w:bookmarkEnd w:id="17"/>
      <w:bookmarkEnd w:id="18"/>
      <w:bookmarkEnd w:id="19"/>
      <w:bookmarkEnd w:id="20"/>
      <w:bookmarkEnd w:id="21"/>
      <w:bookmarkEnd w:id="22"/>
    </w:p>
    <w:p w:rsidR="00F52C10" w:rsidRDefault="00F52C10" w:rsidP="00F52C10">
      <w:pPr>
        <w:pStyle w:val="H6"/>
      </w:pPr>
      <w:r>
        <w:t xml:space="preserve">Essential patents </w:t>
      </w:r>
    </w:p>
    <w:p w:rsidR="00F52C10" w:rsidRDefault="00F52C10" w:rsidP="00F52C10">
      <w:r>
        <w:t xml:space="preserve">IPRs essential or potentially essential to </w:t>
      </w:r>
      <w:r w:rsidR="00B6617B">
        <w:t>normative deliverables</w:t>
      </w:r>
      <w:r>
        <w:t xml:space="preserve"> may have been declared to ETSI. The information pertaining to these essential IPRs, if any, is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4" w:history="1">
        <w:r>
          <w:rPr>
            <w:rStyle w:val="Hyperlink"/>
          </w:rPr>
          <w:t>https://ipr.etsi.org</w:t>
        </w:r>
      </w:hyperlink>
      <w:r>
        <w:t>).</w:t>
      </w:r>
    </w:p>
    <w:p w:rsidR="00F52C10" w:rsidRDefault="00F52C10" w:rsidP="00F52C10">
      <w: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F52C10" w:rsidRDefault="00F52C10" w:rsidP="00F52C10">
      <w:pPr>
        <w:pStyle w:val="H6"/>
      </w:pPr>
      <w:r>
        <w:t>Trademarks</w:t>
      </w:r>
    </w:p>
    <w:p w:rsidR="00102FAB" w:rsidRPr="00E71784" w:rsidRDefault="00F52C10" w:rsidP="00F52C10">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rsidR="00A301A6" w:rsidRPr="00E71784" w:rsidRDefault="00A301A6" w:rsidP="00A301A6">
      <w:pPr>
        <w:pStyle w:val="Heading1"/>
      </w:pPr>
      <w:bookmarkStart w:id="23" w:name="_Toc451533944"/>
      <w:bookmarkStart w:id="24" w:name="_Toc484178379"/>
      <w:bookmarkStart w:id="25" w:name="_Toc484178409"/>
      <w:bookmarkStart w:id="26" w:name="_Toc487531993"/>
      <w:bookmarkStart w:id="27" w:name="_Toc527987191"/>
      <w:bookmarkStart w:id="28" w:name="_Toc66272907"/>
      <w:bookmarkStart w:id="29" w:name="For_tbname"/>
      <w:r w:rsidRPr="00E71784">
        <w:t>Foreword</w:t>
      </w:r>
      <w:bookmarkEnd w:id="23"/>
      <w:bookmarkEnd w:id="24"/>
      <w:bookmarkEnd w:id="25"/>
      <w:bookmarkEnd w:id="26"/>
      <w:bookmarkEnd w:id="27"/>
      <w:bookmarkEnd w:id="28"/>
    </w:p>
    <w:p w:rsidR="00D626BF" w:rsidRPr="00E71784" w:rsidRDefault="00D626BF">
      <w:r w:rsidRPr="00E71784">
        <w:t xml:space="preserve">This Technical Specification (TS) has been produced by </w:t>
      </w:r>
      <w:r w:rsidR="00E73B42">
        <w:t>ETSI Technical Committee Mobile Standards Group (MSG)</w:t>
      </w:r>
      <w:r w:rsidRPr="00E71784">
        <w:t xml:space="preserve"> </w:t>
      </w:r>
      <w:bookmarkEnd w:id="29"/>
      <w:r w:rsidRPr="00E71784">
        <w:t>.</w:t>
      </w:r>
    </w:p>
    <w:p w:rsidR="00A301A6" w:rsidRPr="00E71784" w:rsidRDefault="00A301A6" w:rsidP="00A301A6">
      <w:pPr>
        <w:pStyle w:val="Heading1"/>
        <w:rPr>
          <w:b/>
        </w:rPr>
      </w:pPr>
      <w:bookmarkStart w:id="30" w:name="_Toc451533945"/>
      <w:bookmarkStart w:id="31" w:name="_Toc484178380"/>
      <w:bookmarkStart w:id="32" w:name="_Toc484178410"/>
      <w:bookmarkStart w:id="33" w:name="_Toc487531994"/>
      <w:bookmarkStart w:id="34" w:name="_Toc527987192"/>
      <w:bookmarkStart w:id="35" w:name="_Toc66272908"/>
      <w:r w:rsidRPr="00E71784">
        <w:t>Modal verbs terminology</w:t>
      </w:r>
      <w:bookmarkEnd w:id="30"/>
      <w:bookmarkEnd w:id="31"/>
      <w:bookmarkEnd w:id="32"/>
      <w:bookmarkEnd w:id="33"/>
      <w:bookmarkEnd w:id="34"/>
      <w:bookmarkEnd w:id="35"/>
    </w:p>
    <w:p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rsidR="006B54F6" w:rsidRPr="006B54F6" w:rsidRDefault="006B54F6" w:rsidP="006B54F6"/>
    <w:p w:rsidR="00A301A6" w:rsidRDefault="00A301A6" w:rsidP="00A301A6">
      <w:pPr>
        <w:pStyle w:val="Heading1"/>
      </w:pPr>
      <w:bookmarkStart w:id="36" w:name="_Toc451533947"/>
      <w:bookmarkStart w:id="37" w:name="_Toc484178382"/>
      <w:bookmarkStart w:id="38" w:name="_Toc484178412"/>
      <w:bookmarkStart w:id="39" w:name="_Toc487531996"/>
      <w:bookmarkStart w:id="40" w:name="_Toc527987194"/>
      <w:bookmarkStart w:id="41" w:name="_Toc66272909"/>
      <w:r w:rsidRPr="00E71784">
        <w:t>Introduction</w:t>
      </w:r>
      <w:bookmarkEnd w:id="36"/>
      <w:bookmarkEnd w:id="37"/>
      <w:bookmarkEnd w:id="38"/>
      <w:bookmarkEnd w:id="39"/>
      <w:bookmarkEnd w:id="40"/>
      <w:bookmarkEnd w:id="41"/>
    </w:p>
    <w:p w:rsidR="00C27C27" w:rsidRDefault="00C27C27" w:rsidP="00C27C27">
      <w:pPr>
        <w:pStyle w:val="B1"/>
        <w:numPr>
          <w:ilvl w:val="0"/>
          <w:numId w:val="0"/>
        </w:numPr>
      </w:pPr>
      <w:r>
        <w:t xml:space="preserve">The present document addresses additional requirements arising from EC/CEPT spectrum regulatory framework that apply to specific equipment in specific cases in certain countries and/or in certain geographical areas. </w:t>
      </w:r>
    </w:p>
    <w:p w:rsidR="006B54F6" w:rsidRDefault="006B54F6">
      <w:pPr>
        <w:overflowPunct/>
        <w:autoSpaceDE/>
        <w:autoSpaceDN/>
        <w:adjustRightInd/>
        <w:spacing w:after="0"/>
        <w:textAlignment w:val="auto"/>
        <w:rPr>
          <w:rFonts w:ascii="Arial" w:hAnsi="Arial"/>
          <w:sz w:val="36"/>
        </w:rPr>
      </w:pPr>
      <w:r>
        <w:br w:type="page"/>
      </w:r>
    </w:p>
    <w:p w:rsidR="00A301A6" w:rsidRPr="00E71784" w:rsidRDefault="00A301A6" w:rsidP="00A301A6">
      <w:pPr>
        <w:pStyle w:val="Heading1"/>
      </w:pPr>
      <w:bookmarkStart w:id="42" w:name="_Toc451533948"/>
      <w:bookmarkStart w:id="43" w:name="_Toc484178383"/>
      <w:bookmarkStart w:id="44" w:name="_Toc484178413"/>
      <w:bookmarkStart w:id="45" w:name="_Toc487531997"/>
      <w:bookmarkStart w:id="46" w:name="_Toc527987195"/>
      <w:bookmarkStart w:id="47" w:name="_Toc66272910"/>
      <w:r w:rsidRPr="00E71784">
        <w:t>1</w:t>
      </w:r>
      <w:r w:rsidRPr="00E71784">
        <w:tab/>
        <w:t>Scope</w:t>
      </w:r>
      <w:bookmarkEnd w:id="42"/>
      <w:bookmarkEnd w:id="43"/>
      <w:bookmarkEnd w:id="44"/>
      <w:bookmarkEnd w:id="45"/>
      <w:bookmarkEnd w:id="46"/>
      <w:bookmarkEnd w:id="47"/>
    </w:p>
    <w:p w:rsidR="00E73B42" w:rsidRPr="00335293" w:rsidRDefault="00E73B42" w:rsidP="00E73B42">
      <w:pPr>
        <w:keepNext/>
      </w:pPr>
      <w:r>
        <w:t xml:space="preserve">The present document </w:t>
      </w:r>
      <w:r w:rsidRPr="00335293">
        <w:t>applies to the following equipment types:</w:t>
      </w:r>
    </w:p>
    <w:p w:rsidR="00E73B42" w:rsidRDefault="00E73B42" w:rsidP="00E73B42">
      <w:pPr>
        <w:pStyle w:val="B1"/>
      </w:pPr>
      <w:bookmarkStart w:id="48" w:name="OLE_LINK20"/>
      <w:r w:rsidRPr="00335293">
        <w:t xml:space="preserve">E-UTRA, UTRA, </w:t>
      </w:r>
      <w:r>
        <w:t>NR</w:t>
      </w:r>
      <w:r w:rsidRPr="00335293">
        <w:t>, NB-IoT</w:t>
      </w:r>
      <w:bookmarkEnd w:id="48"/>
      <w:r>
        <w:t>, MSR capable Base Stations</w:t>
      </w:r>
    </w:p>
    <w:p w:rsidR="000401F0" w:rsidRDefault="00C27C27" w:rsidP="00B96C98">
      <w:pPr>
        <w:pStyle w:val="B1"/>
        <w:numPr>
          <w:ilvl w:val="0"/>
          <w:numId w:val="0"/>
        </w:numPr>
      </w:pPr>
      <w:r>
        <w:t xml:space="preserve">The present document </w:t>
      </w:r>
      <w:r w:rsidR="000401F0">
        <w:t xml:space="preserve">addresses additional requirements arising from EC/CEPT spectrum regulatory framework that apply to specific equipment in specific cases in certain countries and/or in certain geographical areas. </w:t>
      </w:r>
    </w:p>
    <w:p w:rsidR="000401F0" w:rsidRDefault="00C27C27" w:rsidP="00B96C98">
      <w:pPr>
        <w:pStyle w:val="B1"/>
        <w:numPr>
          <w:ilvl w:val="0"/>
          <w:numId w:val="0"/>
        </w:numPr>
      </w:pPr>
      <w:r>
        <w:t xml:space="preserve">The present document </w:t>
      </w:r>
      <w:r w:rsidR="000401F0">
        <w:t xml:space="preserve">will be referenced in the relevant IMT Harmonised Standards – EN 301 908 </w:t>
      </w:r>
      <w:r>
        <w:t>Part</w:t>
      </w:r>
      <w:r w:rsidR="000401F0">
        <w:t xml:space="preserve"> 14 (E-UTRA BS), </w:t>
      </w:r>
      <w:r>
        <w:t xml:space="preserve">Part </w:t>
      </w:r>
      <w:r w:rsidR="000401F0">
        <w:t xml:space="preserve">18 (MSR BS), </w:t>
      </w:r>
      <w:r>
        <w:t xml:space="preserve">Part </w:t>
      </w:r>
      <w:r w:rsidR="000401F0">
        <w:t xml:space="preserve">23 (AAS BS), </w:t>
      </w:r>
      <w:r>
        <w:t xml:space="preserve">Part </w:t>
      </w:r>
      <w:r w:rsidR="000401F0">
        <w:t>24 (NR BS) – to address those additional requirements.</w:t>
      </w:r>
    </w:p>
    <w:p w:rsidR="00A301A6" w:rsidRPr="00E71784" w:rsidRDefault="00A301A6" w:rsidP="00A301A6"/>
    <w:p w:rsidR="00E71784" w:rsidRPr="00E71784" w:rsidRDefault="00E71784" w:rsidP="00E71784">
      <w:pPr>
        <w:pStyle w:val="Heading1"/>
      </w:pPr>
      <w:bookmarkStart w:id="49" w:name="_Toc451533949"/>
      <w:bookmarkStart w:id="50" w:name="_Toc484178384"/>
      <w:bookmarkStart w:id="51" w:name="_Toc484178414"/>
      <w:bookmarkStart w:id="52" w:name="_Toc487531998"/>
      <w:bookmarkStart w:id="53" w:name="_Toc527987196"/>
      <w:bookmarkStart w:id="54" w:name="_Toc66272911"/>
      <w:r w:rsidRPr="00E71784">
        <w:t>2</w:t>
      </w:r>
      <w:r w:rsidRPr="00E71784">
        <w:tab/>
        <w:t>References</w:t>
      </w:r>
      <w:bookmarkEnd w:id="49"/>
      <w:bookmarkEnd w:id="50"/>
      <w:bookmarkEnd w:id="51"/>
      <w:bookmarkEnd w:id="52"/>
      <w:bookmarkEnd w:id="53"/>
      <w:bookmarkEnd w:id="54"/>
    </w:p>
    <w:p w:rsidR="00E71784" w:rsidRPr="00E71784" w:rsidRDefault="00E71784" w:rsidP="00E71784">
      <w:pPr>
        <w:pStyle w:val="Heading2"/>
        <w:keepNext w:val="0"/>
      </w:pPr>
      <w:bookmarkStart w:id="55" w:name="_Toc451533950"/>
      <w:bookmarkStart w:id="56" w:name="_Toc484178385"/>
      <w:bookmarkStart w:id="57" w:name="_Toc484178415"/>
      <w:bookmarkStart w:id="58" w:name="_Toc487531999"/>
      <w:bookmarkStart w:id="59" w:name="_Toc527987197"/>
      <w:bookmarkStart w:id="60" w:name="_Toc66272912"/>
      <w:r w:rsidRPr="00E71784">
        <w:t>2.1</w:t>
      </w:r>
      <w:r w:rsidRPr="00E71784">
        <w:tab/>
        <w:t>Normative references</w:t>
      </w:r>
      <w:bookmarkEnd w:id="55"/>
      <w:bookmarkEnd w:id="56"/>
      <w:bookmarkEnd w:id="57"/>
      <w:bookmarkEnd w:id="58"/>
      <w:bookmarkEnd w:id="59"/>
      <w:bookmarkEnd w:id="60"/>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r w:rsidRPr="00E71784">
        <w:t xml:space="preserve">Referenced documents which are not found to be publicly available in the expected location might be found at </w:t>
      </w:r>
      <w:hyperlink r:id="rId16" w:history="1">
        <w:r w:rsidR="00444843" w:rsidRPr="005F729F">
          <w:rPr>
            <w:rStyle w:val="Hyperlink"/>
          </w:rPr>
          <w:t>https://docbox.etsi.org/Reference</w:t>
        </w:r>
      </w:hyperlink>
      <w:r w:rsidRPr="00E71784">
        <w:t>.</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Pr="00E71784" w:rsidRDefault="00C300FD" w:rsidP="00FB7C3A">
      <w:pPr>
        <w:keepNext/>
        <w:rPr>
          <w:lang w:eastAsia="en-GB"/>
        </w:rPr>
      </w:pPr>
      <w:r w:rsidRPr="00E71784">
        <w:rPr>
          <w:lang w:eastAsia="en-GB"/>
        </w:rPr>
        <w:t>The following referenced documents are necessary for the application of the present document.</w:t>
      </w:r>
    </w:p>
    <w:p w:rsidR="001E3468" w:rsidRDefault="00E71784" w:rsidP="001E3468">
      <w:pPr>
        <w:pStyle w:val="EX"/>
      </w:pPr>
      <w:r w:rsidRPr="00E71784">
        <w:t>[1]</w:t>
      </w:r>
      <w:r w:rsidRPr="00E71784">
        <w:rPr>
          <w:rFonts w:ascii="Wingdings 3" w:hAnsi="Wingdings 3"/>
          <w:color w:val="76923C"/>
        </w:rPr>
        <w:t></w:t>
      </w:r>
      <w:r w:rsidR="006B54F6">
        <w:rPr>
          <w:rFonts w:ascii="Wingdings 3" w:hAnsi="Wingdings 3"/>
          <w:color w:val="76923C"/>
        </w:rPr>
        <w:tab/>
      </w:r>
      <w:bookmarkStart w:id="61" w:name="OLE_LINK7"/>
      <w:r w:rsidR="001E3468">
        <w:tab/>
        <w:t xml:space="preserve">ETSI TS 137 141 </w:t>
      </w:r>
      <w:r w:rsidR="00D619FC" w:rsidRPr="00D619FC">
        <w:t>V16.8.0 (2021-01)</w:t>
      </w:r>
      <w:r w:rsidR="001E3468">
        <w:t xml:space="preserve">: "Digital cellular telecommunications system (Phase 2+) </w:t>
      </w:r>
      <w:bookmarkEnd w:id="61"/>
      <w:r w:rsidR="001E3468">
        <w:t>(GSM); Universal Mobile Telecommunications System (UMTS); LTE; E-UTRA, UTRA and GSM/EDGE; Multi-Standard Radio (MSR) Base Station (BS) conformance testing.</w:t>
      </w:r>
    </w:p>
    <w:p w:rsidR="00B5265B" w:rsidRDefault="00B5265B" w:rsidP="001E3468">
      <w:pPr>
        <w:pStyle w:val="EX"/>
      </w:pPr>
      <w:r>
        <w:t>[2]</w:t>
      </w:r>
      <w:r>
        <w:tab/>
      </w:r>
      <w:bookmarkStart w:id="62" w:name="OLE_LINK11"/>
      <w:r w:rsidRPr="00335293">
        <w:t>ETSI TS 136 104</w:t>
      </w:r>
      <w:r w:rsidR="00690423">
        <w:t xml:space="preserve"> (</w:t>
      </w:r>
      <w:r w:rsidR="00690423" w:rsidRPr="00690423">
        <w:t>V16.8.0</w:t>
      </w:r>
      <w:r w:rsidR="00690423">
        <w:t>)</w:t>
      </w:r>
      <w:r w:rsidR="00690423" w:rsidRPr="00690423">
        <w:t xml:space="preserve"> (2021-01)</w:t>
      </w:r>
      <w:r w:rsidRPr="00335293">
        <w:t xml:space="preserve">: </w:t>
      </w:r>
      <w:bookmarkEnd w:id="62"/>
      <w:r w:rsidRPr="00335293">
        <w:t>"LTE; Evolved Universal Terrestrial Radio Access (E</w:t>
      </w:r>
      <w:r w:rsidRPr="00335293">
        <w:noBreakHyphen/>
        <w:t>UTRA); Base Station (BS) radio transmission and reception</w:t>
      </w:r>
    </w:p>
    <w:p w:rsidR="00B5265B" w:rsidRDefault="00B5265B" w:rsidP="00B5265B">
      <w:pPr>
        <w:pStyle w:val="EX"/>
      </w:pPr>
      <w:r w:rsidRPr="00335293">
        <w:t>[</w:t>
      </w:r>
      <w:bookmarkStart w:id="63" w:name="REF_TS125105"/>
      <w:r w:rsidRPr="00335293">
        <w:fldChar w:fldCharType="begin"/>
      </w:r>
      <w:r w:rsidRPr="00335293">
        <w:instrText>SEQ REF</w:instrText>
      </w:r>
      <w:r w:rsidRPr="00335293">
        <w:fldChar w:fldCharType="separate"/>
      </w:r>
      <w:r w:rsidRPr="00335293">
        <w:t>3</w:t>
      </w:r>
      <w:r w:rsidRPr="00335293">
        <w:fldChar w:fldCharType="end"/>
      </w:r>
      <w:bookmarkEnd w:id="63"/>
      <w:r w:rsidRPr="00335293">
        <w:t>]</w:t>
      </w:r>
      <w:r w:rsidRPr="00335293">
        <w:tab/>
        <w:t xml:space="preserve">ETSI TS 125 105 </w:t>
      </w:r>
      <w:r w:rsidR="004875FC">
        <w:t>(V16.0.0) (2020-11)</w:t>
      </w:r>
      <w:r w:rsidRPr="00335293">
        <w:t>: "Universal Mobile Telecommunications System (UMTS); Base Station (BS) radio transmission and reception (TDD).</w:t>
      </w:r>
    </w:p>
    <w:p w:rsidR="00B5265B" w:rsidRDefault="00B5265B" w:rsidP="00B5265B">
      <w:pPr>
        <w:pStyle w:val="EX"/>
      </w:pPr>
      <w:r w:rsidRPr="00B5265B">
        <w:t>[4]</w:t>
      </w:r>
      <w:r w:rsidRPr="00B5265B">
        <w:tab/>
        <w:t xml:space="preserve">ETSI TS 138 104 </w:t>
      </w:r>
      <w:r w:rsidR="004875FC">
        <w:t>(V16.6.0) (2021-01)</w:t>
      </w:r>
      <w:r w:rsidRPr="00B5265B">
        <w:t xml:space="preserve">: “5G; NR; </w:t>
      </w:r>
      <w:r>
        <w:t>Base Station (BS) radio transmission and reception”</w:t>
      </w:r>
    </w:p>
    <w:p w:rsidR="008B3D2B" w:rsidRPr="004875FC" w:rsidRDefault="008B3D2B" w:rsidP="008B3D2B">
      <w:pPr>
        <w:pStyle w:val="EX"/>
      </w:pPr>
      <w:r w:rsidRPr="004875FC">
        <w:t>[5]</w:t>
      </w:r>
      <w:r w:rsidRPr="004875FC">
        <w:tab/>
        <w:t>ETSI EN 301 908-18 (V13.1.1) (09-2019): "IMT cellular networks; Harmonised Standard for access to radio spectrum; Part 18: E-UTRA, UTRA and GSM/EDGE Multi-Standard Radio (MSR) Base Station (BS)</w:t>
      </w:r>
    </w:p>
    <w:p w:rsidR="00AF5235" w:rsidRPr="004875FC" w:rsidRDefault="00AF5235" w:rsidP="00D619FC">
      <w:pPr>
        <w:pStyle w:val="EX"/>
      </w:pPr>
      <w:r w:rsidRPr="00306BD9">
        <w:t>[6]</w:t>
      </w:r>
      <w:r w:rsidRPr="00306BD9">
        <w:tab/>
        <w:t xml:space="preserve">ETSI </w:t>
      </w:r>
      <w:r w:rsidR="00D619FC" w:rsidRPr="00306BD9">
        <w:t xml:space="preserve">TS 138 141-2 </w:t>
      </w:r>
      <w:r w:rsidR="00690423" w:rsidRPr="00306BD9">
        <w:t>(</w:t>
      </w:r>
      <w:r w:rsidR="00D619FC" w:rsidRPr="00306BD9">
        <w:t>V16.4.0</w:t>
      </w:r>
      <w:r w:rsidR="00690423" w:rsidRPr="00306BD9">
        <w:t>)</w:t>
      </w:r>
      <w:r w:rsidR="00D619FC" w:rsidRPr="00306BD9">
        <w:t xml:space="preserve"> (2020-07): “5G; NR; </w:t>
      </w:r>
      <w:r w:rsidR="00D619FC" w:rsidRPr="004875FC">
        <w:t>Base Station (BS) conformance testing; Part 2: Radiated conformance testing”</w:t>
      </w:r>
    </w:p>
    <w:p w:rsidR="004875FC" w:rsidRPr="004875FC" w:rsidRDefault="004875FC" w:rsidP="004875FC">
      <w:pPr>
        <w:pStyle w:val="EX"/>
      </w:pPr>
      <w:r w:rsidRPr="004875FC">
        <w:t>[7]</w:t>
      </w:r>
      <w:r w:rsidRPr="004875FC">
        <w:tab/>
        <w:t>ETSI TS 137 145-1 (V16.5.0) (2021-01): “Universal Mobile Telecommunications System (UMTS); LTE; Active Antenna System (AAS) Base Station (BS) conformance testing; Part 1: conducted conformance testing”</w:t>
      </w:r>
    </w:p>
    <w:p w:rsidR="004875FC" w:rsidRDefault="004875FC" w:rsidP="004875FC">
      <w:pPr>
        <w:pStyle w:val="EX"/>
      </w:pPr>
      <w:r w:rsidRPr="004875FC">
        <w:t>[8</w:t>
      </w:r>
      <w:r>
        <w:t>]</w:t>
      </w:r>
      <w:r w:rsidRPr="004875FC">
        <w:tab/>
        <w:t>ETSI TS 137 145-2 (V16.6.0) (2021-01): “Universal Mobile Telecommunications System (UMTS); LTE; Active Antenna System (AAS) Base Station (BS) conformance testing; Part 2: radiated conformance testing”</w:t>
      </w:r>
    </w:p>
    <w:p w:rsidR="00E71784" w:rsidRPr="00E71784" w:rsidRDefault="00E71784" w:rsidP="00E71784">
      <w:pPr>
        <w:pStyle w:val="EX"/>
      </w:pPr>
    </w:p>
    <w:p w:rsidR="00E71784" w:rsidRPr="00E71784" w:rsidRDefault="00E71784" w:rsidP="00E71784">
      <w:pPr>
        <w:pStyle w:val="Heading2"/>
      </w:pPr>
      <w:bookmarkStart w:id="64" w:name="_Toc451533951"/>
      <w:bookmarkStart w:id="65" w:name="_Toc484178386"/>
      <w:bookmarkStart w:id="66" w:name="_Toc484178416"/>
      <w:bookmarkStart w:id="67" w:name="_Toc487532000"/>
      <w:bookmarkStart w:id="68" w:name="_Toc527987198"/>
      <w:bookmarkStart w:id="69" w:name="_Toc66272913"/>
      <w:r w:rsidRPr="00E71784">
        <w:t>2.2</w:t>
      </w:r>
      <w:r w:rsidRPr="00E71784">
        <w:tab/>
        <w:t>Informative references</w:t>
      </w:r>
      <w:bookmarkEnd w:id="64"/>
      <w:bookmarkEnd w:id="65"/>
      <w:bookmarkEnd w:id="66"/>
      <w:bookmarkEnd w:id="67"/>
      <w:bookmarkEnd w:id="68"/>
      <w:bookmarkEnd w:id="69"/>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rsidR="00202C31" w:rsidRDefault="00A468F1" w:rsidP="00E71784">
      <w:pPr>
        <w:pStyle w:val="EX"/>
      </w:pPr>
      <w:r>
        <w:rPr>
          <w:lang w:eastAsia="en-GB"/>
        </w:rPr>
        <w:t xml:space="preserve"> [i.1</w:t>
      </w:r>
      <w:r w:rsidR="00202C31">
        <w:rPr>
          <w:lang w:eastAsia="en-GB"/>
        </w:rPr>
        <w:t>]</w:t>
      </w:r>
      <w:r w:rsidR="00202C31">
        <w:rPr>
          <w:lang w:eastAsia="en-GB"/>
        </w:rPr>
        <w:tab/>
      </w:r>
      <w:r w:rsidR="00202C31" w:rsidRPr="00202C31">
        <w:rPr>
          <w:lang w:eastAsia="en-GB"/>
        </w:rPr>
        <w:t>ECC Decision (20)02</w:t>
      </w:r>
      <w:r w:rsidR="00202C31">
        <w:rPr>
          <w:lang w:eastAsia="en-GB"/>
        </w:rPr>
        <w:t xml:space="preserve"> “</w:t>
      </w:r>
      <w:r w:rsidR="00202C31" w:rsidRPr="00EC5DF1">
        <w:fldChar w:fldCharType="begin">
          <w:ffData>
            <w:name w:val="Text7"/>
            <w:enabled/>
            <w:calcOnExit w:val="0"/>
            <w:textInput>
              <w:default w:val="Harmonised use of the paired frequency bands 874.4-880.0 MHz and 919.4-925.0 MHz and of the unpaired frequency band 1900-1910 MHz for Railway Mobile Radio (RMR)"/>
            </w:textInput>
          </w:ffData>
        </w:fldChar>
      </w:r>
      <w:r w:rsidR="00202C31" w:rsidRPr="00EC5DF1">
        <w:instrText xml:space="preserve"> </w:instrText>
      </w:r>
      <w:bookmarkStart w:id="70" w:name="Text7"/>
      <w:r w:rsidR="00202C31" w:rsidRPr="00EC5DF1">
        <w:instrText xml:space="preserve">FORMTEXT </w:instrText>
      </w:r>
      <w:r w:rsidR="00202C31" w:rsidRPr="00EC5DF1">
        <w:fldChar w:fldCharType="separate"/>
      </w:r>
      <w:r w:rsidR="00202C31" w:rsidRPr="00EC5DF1">
        <w:t>Harmonised use of the paired frequency bands 874.4-880.0 MHz and 919.4-925.0 MHz and of the unpaired frequency band 1900-1910 MHz for Railway Mobile Radio (RMR)</w:t>
      </w:r>
      <w:r w:rsidR="00202C31" w:rsidRPr="00EC5DF1">
        <w:fldChar w:fldCharType="end"/>
      </w:r>
      <w:bookmarkEnd w:id="70"/>
      <w:r w:rsidR="00202C31">
        <w:t>”</w:t>
      </w:r>
    </w:p>
    <w:p w:rsidR="00A468F1" w:rsidRDefault="00A468F1" w:rsidP="00A468F1">
      <w:pPr>
        <w:pStyle w:val="EX"/>
        <w:rPr>
          <w:lang w:eastAsia="en-GB"/>
        </w:rPr>
      </w:pPr>
      <w:r>
        <w:t>[i.2</w:t>
      </w:r>
      <w:r w:rsidRPr="00202C31">
        <w:rPr>
          <w:lang w:eastAsia="en-GB"/>
        </w:rPr>
        <w:t>]</w:t>
      </w:r>
      <w:r>
        <w:rPr>
          <w:lang w:eastAsia="en-GB"/>
        </w:rPr>
        <w:tab/>
      </w:r>
      <w:r w:rsidRPr="00202C31">
        <w:rPr>
          <w:lang w:eastAsia="en-GB"/>
        </w:rPr>
        <w:t xml:space="preserve"> ECC Report 318</w:t>
      </w:r>
      <w:r>
        <w:rPr>
          <w:lang w:eastAsia="en-GB"/>
        </w:rPr>
        <w:t xml:space="preserve"> “</w:t>
      </w:r>
      <w:r w:rsidRPr="00202C31">
        <w:rPr>
          <w:lang w:eastAsia="en-GB"/>
        </w:rPr>
        <w:t>Compatibility between RMR and MFCN in the 900 MHz range, the 1900-1920 MHz band and the 2290-2300 MHz band</w:t>
      </w:r>
      <w:r>
        <w:rPr>
          <w:lang w:eastAsia="en-GB"/>
        </w:rPr>
        <w:t>”</w:t>
      </w:r>
    </w:p>
    <w:p w:rsidR="000E1E1A" w:rsidRDefault="000E1E1A" w:rsidP="00A468F1">
      <w:pPr>
        <w:pStyle w:val="EX"/>
        <w:rPr>
          <w:lang w:eastAsia="en-GB"/>
        </w:rPr>
      </w:pPr>
      <w:r>
        <w:rPr>
          <w:lang w:eastAsia="en-GB"/>
        </w:rPr>
        <w:t>[i.3]</w:t>
      </w:r>
      <w:r>
        <w:rPr>
          <w:lang w:eastAsia="en-GB"/>
        </w:rPr>
        <w:tab/>
      </w:r>
      <w:r w:rsidRPr="000E1E1A">
        <w:rPr>
          <w:lang w:eastAsia="en-GB"/>
        </w:rPr>
        <w:t>COMMISSION IMPLEMENTING DECISION (EU) 2019/235 of 24 January 2019 on amending Decision 2008/411/EC as regards an update of relevant technical conditions applicable to the 3400-3800 MHz frequency band</w:t>
      </w:r>
    </w:p>
    <w:p w:rsidR="000E1E1A" w:rsidRDefault="000E1E1A" w:rsidP="00A468F1">
      <w:pPr>
        <w:pStyle w:val="EX"/>
        <w:rPr>
          <w:lang w:eastAsia="en-GB"/>
        </w:rPr>
      </w:pPr>
      <w:r>
        <w:rPr>
          <w:lang w:eastAsia="en-GB"/>
        </w:rPr>
        <w:t>[i.4]</w:t>
      </w:r>
      <w:r>
        <w:rPr>
          <w:lang w:eastAsia="en-GB"/>
        </w:rPr>
        <w:tab/>
      </w:r>
      <w:r w:rsidRPr="000E1E1A">
        <w:rPr>
          <w:lang w:eastAsia="en-GB"/>
        </w:rPr>
        <w:t>ECC Report 281</w:t>
      </w:r>
      <w:r>
        <w:rPr>
          <w:lang w:eastAsia="en-GB"/>
        </w:rPr>
        <w:t xml:space="preserve"> “</w:t>
      </w:r>
      <w:r w:rsidRPr="000E1E1A">
        <w:rPr>
          <w:lang w:eastAsia="en-GB"/>
        </w:rPr>
        <w:t>Analysis of the suitability of the regulatory technical conditions for 5G MFCN operation in the 3400-3800 MHz band</w:t>
      </w:r>
      <w:r>
        <w:rPr>
          <w:lang w:eastAsia="en-GB"/>
        </w:rPr>
        <w:t>”</w:t>
      </w:r>
    </w:p>
    <w:p w:rsidR="00DE5D42" w:rsidRDefault="00DE5D42" w:rsidP="00A468F1">
      <w:pPr>
        <w:pStyle w:val="EX"/>
        <w:rPr>
          <w:lang w:eastAsia="en-GB"/>
        </w:rPr>
      </w:pPr>
      <w:r>
        <w:rPr>
          <w:lang w:eastAsia="en-GB"/>
        </w:rPr>
        <w:t>[i.5]</w:t>
      </w:r>
      <w:r>
        <w:rPr>
          <w:lang w:eastAsia="en-GB"/>
        </w:rPr>
        <w:tab/>
      </w:r>
      <w:r>
        <w:t>COMMISSION IMPLEMENTING DECISION (EU) 2020/636 of 8 May 2020 amending Decision 2008/477/EC as regards an update of relevant technical conditions applicable to the 2 500–2 690 MHz frequency band</w:t>
      </w:r>
    </w:p>
    <w:p w:rsidR="00A468F1" w:rsidRPr="00202C31" w:rsidRDefault="00A468F1" w:rsidP="00E71784">
      <w:pPr>
        <w:pStyle w:val="EX"/>
        <w:rPr>
          <w:lang w:eastAsia="en-GB"/>
        </w:rPr>
      </w:pPr>
    </w:p>
    <w:p w:rsidR="00FA3062" w:rsidRPr="002F41AB" w:rsidRDefault="00FA3062" w:rsidP="00FA3062">
      <w:pPr>
        <w:pStyle w:val="Heading1"/>
      </w:pPr>
      <w:bookmarkStart w:id="71" w:name="_Toc451532925"/>
      <w:bookmarkStart w:id="72" w:name="_Toc527987199"/>
      <w:bookmarkStart w:id="73" w:name="_Toc66272914"/>
      <w:r w:rsidRPr="002F41AB">
        <w:t>3</w:t>
      </w:r>
      <w:r w:rsidRPr="002F41AB">
        <w:tab/>
        <w:t>Definition</w:t>
      </w:r>
      <w:r w:rsidR="000563FC">
        <w:t xml:space="preserve"> of terms</w:t>
      </w:r>
      <w:r w:rsidRPr="002F41AB">
        <w:t>, symbols and abbreviations</w:t>
      </w:r>
      <w:bookmarkEnd w:id="71"/>
      <w:bookmarkEnd w:id="72"/>
      <w:bookmarkEnd w:id="73"/>
    </w:p>
    <w:p w:rsidR="00FA3062" w:rsidRPr="00A154F0" w:rsidRDefault="00FA3062" w:rsidP="00FA3062">
      <w:pPr>
        <w:pStyle w:val="Heading2"/>
      </w:pPr>
      <w:bookmarkStart w:id="74" w:name="_Toc451532926"/>
      <w:bookmarkStart w:id="75" w:name="_Toc527987200"/>
      <w:bookmarkStart w:id="76" w:name="_Toc66272915"/>
      <w:r w:rsidRPr="002F41AB">
        <w:t>3.1</w:t>
      </w:r>
      <w:r w:rsidRPr="002F41AB">
        <w:tab/>
      </w:r>
      <w:bookmarkEnd w:id="74"/>
      <w:bookmarkEnd w:id="75"/>
      <w:r w:rsidR="004F45C9">
        <w:t>Terms</w:t>
      </w:r>
      <w:bookmarkEnd w:id="76"/>
    </w:p>
    <w:p w:rsidR="00FA3062" w:rsidRPr="0087570E" w:rsidRDefault="00FA3062" w:rsidP="00FA3062">
      <w:r w:rsidRPr="0087570E">
        <w:t>For the purposes of the present document, the [following] terms</w:t>
      </w:r>
      <w:r w:rsidR="000563FC" w:rsidRPr="0087570E">
        <w:t xml:space="preserve"> </w:t>
      </w:r>
      <w:r w:rsidRPr="0087570E">
        <w:t>[given in ... and the following] apply:</w:t>
      </w:r>
    </w:p>
    <w:p w:rsidR="006B54F6" w:rsidRPr="0087570E" w:rsidRDefault="006B54F6" w:rsidP="006B54F6"/>
    <w:p w:rsidR="00E71784" w:rsidRPr="0087570E" w:rsidRDefault="00E71784" w:rsidP="00E71784">
      <w:pPr>
        <w:pStyle w:val="Heading2"/>
        <w:keepLines w:val="0"/>
        <w:widowControl w:val="0"/>
      </w:pPr>
      <w:bookmarkStart w:id="77" w:name="_Toc451533954"/>
      <w:bookmarkStart w:id="78" w:name="_Toc484178389"/>
      <w:bookmarkStart w:id="79" w:name="_Toc484178419"/>
      <w:bookmarkStart w:id="80" w:name="_Toc487532003"/>
      <w:bookmarkStart w:id="81" w:name="_Toc527987201"/>
      <w:bookmarkStart w:id="82" w:name="_Toc66272916"/>
      <w:r w:rsidRPr="0087570E">
        <w:t>3.2</w:t>
      </w:r>
      <w:r w:rsidRPr="0087570E">
        <w:tab/>
        <w:t>Symbols</w:t>
      </w:r>
      <w:bookmarkEnd w:id="77"/>
      <w:bookmarkEnd w:id="78"/>
      <w:bookmarkEnd w:id="79"/>
      <w:bookmarkEnd w:id="80"/>
      <w:bookmarkEnd w:id="81"/>
      <w:bookmarkEnd w:id="82"/>
    </w:p>
    <w:p w:rsidR="00E71784" w:rsidRPr="0087570E" w:rsidRDefault="00E71784" w:rsidP="00E71784">
      <w:pPr>
        <w:widowControl w:val="0"/>
      </w:pPr>
      <w:r w:rsidRPr="0087570E">
        <w:t>For the purposes of the present document, the [following] symbols [given in ... and the following] apply:</w:t>
      </w:r>
    </w:p>
    <w:p w:rsidR="006B54F6" w:rsidRPr="0087570E" w:rsidRDefault="006B54F6" w:rsidP="006B54F6">
      <w:pPr>
        <w:pStyle w:val="EW"/>
      </w:pPr>
    </w:p>
    <w:p w:rsidR="00E71784" w:rsidRPr="0087570E" w:rsidRDefault="00E71784" w:rsidP="00E71784">
      <w:pPr>
        <w:pStyle w:val="Heading2"/>
      </w:pPr>
      <w:bookmarkStart w:id="83" w:name="_Toc451533955"/>
      <w:bookmarkStart w:id="84" w:name="_Toc484178390"/>
      <w:bookmarkStart w:id="85" w:name="_Toc484178420"/>
      <w:bookmarkStart w:id="86" w:name="_Toc487532004"/>
      <w:bookmarkStart w:id="87" w:name="_Toc527987202"/>
      <w:bookmarkStart w:id="88" w:name="_Toc66272917"/>
      <w:r w:rsidRPr="0087570E">
        <w:t>3.3</w:t>
      </w:r>
      <w:r w:rsidRPr="0087570E">
        <w:tab/>
        <w:t>Abbreviations</w:t>
      </w:r>
      <w:bookmarkEnd w:id="83"/>
      <w:bookmarkEnd w:id="84"/>
      <w:bookmarkEnd w:id="85"/>
      <w:bookmarkEnd w:id="86"/>
      <w:bookmarkEnd w:id="87"/>
      <w:bookmarkEnd w:id="88"/>
    </w:p>
    <w:p w:rsidR="00E71784" w:rsidRDefault="00E71784" w:rsidP="00E71784">
      <w:r w:rsidRPr="0087570E">
        <w:t>For the purposes of the present document, the [following] abbreviations [given in ... and the following] apply:</w:t>
      </w:r>
    </w:p>
    <w:p w:rsidR="006B54F6" w:rsidRPr="00E71784" w:rsidRDefault="006B54F6" w:rsidP="006B54F6">
      <w:pPr>
        <w:pStyle w:val="EW"/>
      </w:pPr>
    </w:p>
    <w:p w:rsidR="00E71784" w:rsidRPr="00E71784" w:rsidRDefault="00E71784" w:rsidP="00E71784">
      <w:pPr>
        <w:pStyle w:val="Heading1"/>
      </w:pPr>
      <w:bookmarkStart w:id="89" w:name="_Toc451533956"/>
      <w:bookmarkStart w:id="90" w:name="_Toc484178391"/>
      <w:bookmarkStart w:id="91" w:name="_Toc484178421"/>
      <w:bookmarkStart w:id="92" w:name="_Toc487532005"/>
      <w:bookmarkStart w:id="93" w:name="_Toc527987203"/>
      <w:bookmarkStart w:id="94" w:name="_Toc66272918"/>
      <w:r w:rsidRPr="00E71784">
        <w:t>4</w:t>
      </w:r>
      <w:r w:rsidRPr="00E71784">
        <w:tab/>
      </w:r>
      <w:bookmarkEnd w:id="89"/>
      <w:bookmarkEnd w:id="90"/>
      <w:bookmarkEnd w:id="91"/>
      <w:bookmarkEnd w:id="92"/>
      <w:bookmarkEnd w:id="93"/>
      <w:r w:rsidR="00FB2D7D">
        <w:t>Regulatory requirements</w:t>
      </w:r>
      <w:bookmarkEnd w:id="94"/>
    </w:p>
    <w:p w:rsidR="00E71784" w:rsidRDefault="00E71784" w:rsidP="00FB7C3A">
      <w:pPr>
        <w:pStyle w:val="Heading2"/>
        <w:spacing w:before="120"/>
      </w:pPr>
      <w:bookmarkStart w:id="95" w:name="_Toc451533957"/>
      <w:bookmarkStart w:id="96" w:name="_Toc484178392"/>
      <w:bookmarkStart w:id="97" w:name="_Toc484178422"/>
      <w:bookmarkStart w:id="98" w:name="_Toc487532006"/>
      <w:bookmarkStart w:id="99" w:name="_Toc527987204"/>
      <w:bookmarkStart w:id="100" w:name="_Toc66272919"/>
      <w:r w:rsidRPr="00E71784">
        <w:t>4.1</w:t>
      </w:r>
      <w:r w:rsidRPr="00E71784">
        <w:tab/>
      </w:r>
      <w:bookmarkEnd w:id="95"/>
      <w:bookmarkEnd w:id="96"/>
      <w:bookmarkEnd w:id="97"/>
      <w:bookmarkEnd w:id="98"/>
      <w:bookmarkEnd w:id="99"/>
      <w:r w:rsidR="000B49F2">
        <w:t xml:space="preserve">Enhanced Selectivity </w:t>
      </w:r>
      <w:r w:rsidR="00E73B42">
        <w:t xml:space="preserve">for </w:t>
      </w:r>
      <w:r w:rsidR="000B49F2">
        <w:t>Band 1 BSs</w:t>
      </w:r>
      <w:bookmarkEnd w:id="100"/>
    </w:p>
    <w:p w:rsidR="00E85895" w:rsidRDefault="00E85895" w:rsidP="00E85895">
      <w:r w:rsidRPr="000401F0">
        <w:t>Th</w:t>
      </w:r>
      <w:r>
        <w:t xml:space="preserve">e </w:t>
      </w:r>
      <w:r w:rsidR="00521F39">
        <w:t xml:space="preserve">following </w:t>
      </w:r>
      <w:r w:rsidR="00521F39" w:rsidRPr="000401F0">
        <w:t xml:space="preserve">requirement </w:t>
      </w:r>
      <w:r w:rsidR="00521F39">
        <w:t>is</w:t>
      </w:r>
      <w:r w:rsidRPr="000401F0">
        <w:t xml:space="preserve"> applicable to E-UTRA, UTRA, NR</w:t>
      </w:r>
      <w:r w:rsidRPr="00B96C98">
        <w:t>, NB-IoT or MSR BSs</w:t>
      </w:r>
      <w:r>
        <w:t xml:space="preserve"> that are intended to be deployed in </w:t>
      </w:r>
      <w:r w:rsidRPr="00585DAD">
        <w:t>close geographical proximity of FRMCS Base Stations</w:t>
      </w:r>
      <w:r w:rsidRPr="00B96C98">
        <w:t xml:space="preserve">. </w:t>
      </w:r>
    </w:p>
    <w:p w:rsidR="00E85895" w:rsidRDefault="00E85895" w:rsidP="00E85895">
      <w:commentRangeStart w:id="101"/>
      <w:r w:rsidRPr="00006C04">
        <w:rPr>
          <w:highlight w:val="yellow"/>
        </w:rPr>
        <w:t>This requirement is only applicable to BSs intended to transmit in the lowest channel of Band 1.</w:t>
      </w:r>
      <w:commentRangeEnd w:id="101"/>
      <w:r>
        <w:rPr>
          <w:rStyle w:val="CommentReference"/>
        </w:rPr>
        <w:commentReference w:id="101"/>
      </w:r>
    </w:p>
    <w:p w:rsidR="00E85895" w:rsidRDefault="00E85895" w:rsidP="00E85895">
      <w:r w:rsidRPr="00A204B2">
        <w:t xml:space="preserve">This requirement is only applicable </w:t>
      </w:r>
      <w:r>
        <w:t>t</w:t>
      </w:r>
      <w:r w:rsidRPr="00A204B2">
        <w:t>o the blocking performance against an interfering signal in the frequency range 1900-1910 MHz and does not change the general blocking requirement between adjacent channels in-band.</w:t>
      </w:r>
    </w:p>
    <w:p w:rsidR="00105C64" w:rsidRPr="00335293" w:rsidRDefault="00105C64" w:rsidP="00105C64">
      <w:pPr>
        <w:pStyle w:val="TH"/>
      </w:pPr>
      <w:r w:rsidRPr="00335293">
        <w:t xml:space="preserve">Table </w:t>
      </w:r>
      <w:r w:rsidR="004B4D19">
        <w:t>4.</w:t>
      </w:r>
      <w:r w:rsidRPr="00335293">
        <w:t>1</w:t>
      </w:r>
      <w:r w:rsidR="004B4D19">
        <w:t>.1</w:t>
      </w:r>
      <w:r w:rsidRPr="00335293">
        <w:t>: Base station operating band</w:t>
      </w:r>
    </w:p>
    <w:tbl>
      <w:tblPr>
        <w:tblW w:w="8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28"/>
        <w:gridCol w:w="2646"/>
        <w:gridCol w:w="4508"/>
      </w:tblGrid>
      <w:tr w:rsidR="00105C64" w:rsidRPr="00335293" w:rsidTr="00DE5D42">
        <w:trPr>
          <w:cantSplit/>
          <w:jc w:val="center"/>
        </w:trPr>
        <w:tc>
          <w:tcPr>
            <w:tcW w:w="1528" w:type="dxa"/>
          </w:tcPr>
          <w:p w:rsidR="00105C64" w:rsidRPr="00335293" w:rsidRDefault="00105C64" w:rsidP="00DE5D42">
            <w:pPr>
              <w:pStyle w:val="TAH"/>
            </w:pPr>
            <w:r w:rsidRPr="00335293">
              <w:t xml:space="preserve">Band designation </w:t>
            </w:r>
          </w:p>
        </w:tc>
        <w:tc>
          <w:tcPr>
            <w:tcW w:w="2646" w:type="dxa"/>
            <w:vAlign w:val="center"/>
          </w:tcPr>
          <w:p w:rsidR="00105C64" w:rsidRPr="00335293" w:rsidRDefault="00105C64" w:rsidP="00DE5D42">
            <w:pPr>
              <w:pStyle w:val="TAH"/>
            </w:pPr>
            <w:r w:rsidRPr="00335293">
              <w:t>Direction of transmission</w:t>
            </w:r>
          </w:p>
        </w:tc>
        <w:tc>
          <w:tcPr>
            <w:tcW w:w="4508" w:type="dxa"/>
            <w:vAlign w:val="center"/>
          </w:tcPr>
          <w:p w:rsidR="00105C64" w:rsidRPr="00335293" w:rsidRDefault="00105C64" w:rsidP="00DE5D42">
            <w:pPr>
              <w:pStyle w:val="TAH"/>
            </w:pPr>
            <w:r w:rsidRPr="00335293">
              <w:t>Base Station operating bands</w:t>
            </w:r>
          </w:p>
        </w:tc>
      </w:tr>
      <w:tr w:rsidR="00105C64" w:rsidRPr="00335293" w:rsidTr="00DE5D42">
        <w:trPr>
          <w:cantSplit/>
          <w:jc w:val="center"/>
        </w:trPr>
        <w:tc>
          <w:tcPr>
            <w:tcW w:w="1528" w:type="dxa"/>
            <w:vMerge w:val="restart"/>
          </w:tcPr>
          <w:p w:rsidR="00105C64" w:rsidRPr="00335293" w:rsidRDefault="00105C64" w:rsidP="00DE5D42">
            <w:pPr>
              <w:pStyle w:val="TAC"/>
            </w:pPr>
            <w:r w:rsidRPr="00335293">
              <w:t xml:space="preserve">1 </w:t>
            </w:r>
          </w:p>
        </w:tc>
        <w:tc>
          <w:tcPr>
            <w:tcW w:w="2646" w:type="dxa"/>
          </w:tcPr>
          <w:p w:rsidR="00105C64" w:rsidRPr="00335293" w:rsidRDefault="00105C64" w:rsidP="00DE5D42">
            <w:pPr>
              <w:pStyle w:val="TAC"/>
            </w:pPr>
            <w:r w:rsidRPr="00335293">
              <w:t xml:space="preserve">Transmit </w:t>
            </w:r>
          </w:p>
        </w:tc>
        <w:tc>
          <w:tcPr>
            <w:tcW w:w="4508" w:type="dxa"/>
          </w:tcPr>
          <w:p w:rsidR="00105C64" w:rsidRPr="00335293" w:rsidRDefault="00105C64" w:rsidP="00DE5D42">
            <w:pPr>
              <w:pStyle w:val="TAC"/>
            </w:pPr>
            <w:r w:rsidRPr="00335293">
              <w:t>2 110 MHz to 2 170 MHz</w:t>
            </w:r>
          </w:p>
        </w:tc>
      </w:tr>
      <w:tr w:rsidR="00105C64" w:rsidRPr="00335293" w:rsidTr="00DE5D42">
        <w:trPr>
          <w:cantSplit/>
          <w:jc w:val="center"/>
        </w:trPr>
        <w:tc>
          <w:tcPr>
            <w:tcW w:w="1528" w:type="dxa"/>
            <w:vMerge/>
          </w:tcPr>
          <w:p w:rsidR="00105C64" w:rsidRPr="00335293" w:rsidRDefault="00105C64" w:rsidP="00DE5D42">
            <w:pPr>
              <w:pStyle w:val="TAC"/>
            </w:pPr>
          </w:p>
        </w:tc>
        <w:tc>
          <w:tcPr>
            <w:tcW w:w="2646" w:type="dxa"/>
          </w:tcPr>
          <w:p w:rsidR="00105C64" w:rsidRPr="00335293" w:rsidRDefault="00105C64" w:rsidP="00DE5D42">
            <w:pPr>
              <w:pStyle w:val="TAC"/>
            </w:pPr>
            <w:r w:rsidRPr="00335293">
              <w:t xml:space="preserve">Receive </w:t>
            </w:r>
          </w:p>
        </w:tc>
        <w:tc>
          <w:tcPr>
            <w:tcW w:w="4508" w:type="dxa"/>
          </w:tcPr>
          <w:p w:rsidR="00105C64" w:rsidRPr="00335293" w:rsidRDefault="00105C64" w:rsidP="00DE5D42">
            <w:pPr>
              <w:pStyle w:val="TAC"/>
            </w:pPr>
            <w:r w:rsidRPr="00335293">
              <w:t>1 920 MHz to 1 980 MHz</w:t>
            </w:r>
          </w:p>
        </w:tc>
      </w:tr>
    </w:tbl>
    <w:p w:rsidR="00105C64" w:rsidRPr="00335293" w:rsidRDefault="00105C64" w:rsidP="00105C64">
      <w:pPr>
        <w:pStyle w:val="B1"/>
        <w:numPr>
          <w:ilvl w:val="0"/>
          <w:numId w:val="0"/>
        </w:numPr>
        <w:ind w:left="737" w:hanging="453"/>
      </w:pPr>
    </w:p>
    <w:p w:rsidR="008B3D2B" w:rsidRDefault="008B3D2B" w:rsidP="008B3D2B">
      <w:pPr>
        <w:pStyle w:val="Heading3"/>
      </w:pPr>
      <w:bookmarkStart w:id="102" w:name="_Toc66272920"/>
      <w:r>
        <w:t>4.1.1</w:t>
      </w:r>
      <w:r>
        <w:tab/>
        <w:t>Limits</w:t>
      </w:r>
      <w:bookmarkEnd w:id="102"/>
    </w:p>
    <w:p w:rsidR="00E85895" w:rsidRPr="00E85895" w:rsidRDefault="00E85895" w:rsidP="00E85895">
      <w:commentRangeStart w:id="103"/>
      <w:r w:rsidRPr="00E85895">
        <w:t xml:space="preserve">The interfering signal shall be a [E-UTRA/NR] TDD signal </w:t>
      </w:r>
      <w:commentRangeEnd w:id="103"/>
      <w:r w:rsidRPr="00E85895">
        <w:rPr>
          <w:rStyle w:val="CommentReference"/>
        </w:rPr>
        <w:commentReference w:id="103"/>
      </w:r>
      <w:r w:rsidRPr="00E85895">
        <w:t>with a 10 MHz channel for a UTRA, E-UTRA, NB-IOT, GSM/EDGE or NR (</w:t>
      </w:r>
      <w:r w:rsidRPr="00E85895">
        <w:rPr>
          <w:rFonts w:cs="Arial"/>
        </w:rPr>
        <w:t xml:space="preserve">≤ </w:t>
      </w:r>
      <w:r w:rsidRPr="00E85895">
        <w:rPr>
          <w:rFonts w:cs="Arial"/>
          <w:lang w:eastAsia="zh-CN"/>
        </w:rPr>
        <w:t>20 MHz</w:t>
      </w:r>
      <w:r w:rsidRPr="00E85895">
        <w:t>) wanted signal.</w:t>
      </w:r>
    </w:p>
    <w:p w:rsidR="00E85895" w:rsidRDefault="00E85895" w:rsidP="00E85895">
      <w:r>
        <w:t xml:space="preserve">The requirement is applicable outside the Base Station RF Bandwidth or Radio Bandwidth. The interfering signal is defined in the 1900-1910 MHz frequency range. </w:t>
      </w:r>
    </w:p>
    <w:p w:rsidR="00E85895" w:rsidRDefault="00E85895" w:rsidP="00E85895">
      <w:r>
        <w:t>For the wanted and interfering signal coupled to the base station antenna input, using the parameters in Table 4.1.2 the following requirements shall be met:</w:t>
      </w:r>
    </w:p>
    <w:p w:rsidR="00E85895" w:rsidRDefault="00E85895" w:rsidP="00E85895">
      <w:pPr>
        <w:pStyle w:val="B10"/>
      </w:pPr>
      <w:r>
        <w:t>-</w:t>
      </w:r>
      <w:r>
        <w:tab/>
        <w:t>For any E-UTRA carrier, the throughput shall be ≥ 95% of the maximum throughput of the reference measurement channel defined in TS 136 104 [2], sub clause 7.2.</w:t>
      </w:r>
    </w:p>
    <w:p w:rsidR="00E85895" w:rsidRDefault="00E85895" w:rsidP="00E85895">
      <w:pPr>
        <w:pStyle w:val="B10"/>
      </w:pPr>
      <w:r>
        <w:t>-</w:t>
      </w:r>
      <w:r>
        <w:tab/>
        <w:t>For any UTRA FDD carrier, the BER shall not exceed 0.001 for the reference measurement channel defined in TS 125 104 [3], sub clause 7.2.</w:t>
      </w:r>
    </w:p>
    <w:p w:rsidR="00E85895" w:rsidRDefault="00E85895" w:rsidP="00E85895">
      <w:pPr>
        <w:pStyle w:val="B10"/>
      </w:pPr>
      <w:r>
        <w:t>-</w:t>
      </w:r>
      <w:r>
        <w:tab/>
        <w:t xml:space="preserve">For any </w:t>
      </w:r>
      <w:r>
        <w:rPr>
          <w:lang w:eastAsia="zh-CN"/>
        </w:rPr>
        <w:t>NB-IoT</w:t>
      </w:r>
      <w:r>
        <w:t xml:space="preserve"> carrier, the throughput shall be ≥ 95% of the maximum throughput of the reference measurement channel defined in TS 136 104 [2], sub clause 7.2.</w:t>
      </w:r>
    </w:p>
    <w:p w:rsidR="00E85895" w:rsidRDefault="00E85895" w:rsidP="00E85895">
      <w:pPr>
        <w:pStyle w:val="B10"/>
      </w:pPr>
      <w:r>
        <w:t>-</w:t>
      </w:r>
      <w:r>
        <w:tab/>
        <w:t>For any NR carrier, the throughput shall be ≥ 95% of the maximum throughput of the reference measurement channel defined in TS 138 104 [4], sub clause 7.2.</w:t>
      </w:r>
    </w:p>
    <w:p w:rsidR="00E73B42" w:rsidRDefault="00E85895" w:rsidP="000B49F2">
      <w:r>
        <w:t>The wanted signal shall be centred at the lowest channel of Band 1.</w:t>
      </w:r>
    </w:p>
    <w:p w:rsidR="000B49F2" w:rsidRDefault="000B49F2" w:rsidP="000B49F2">
      <w:pPr>
        <w:pStyle w:val="TH"/>
        <w:rPr>
          <w:rFonts w:eastAsia="Osaka"/>
        </w:rPr>
      </w:pPr>
      <w:r>
        <w:rPr>
          <w:rFonts w:eastAsia="Osaka"/>
        </w:rPr>
        <w:t xml:space="preserve">Table </w:t>
      </w:r>
      <w:r w:rsidR="00B5265B">
        <w:rPr>
          <w:rFonts w:eastAsia="Osaka"/>
        </w:rPr>
        <w:t>4.</w:t>
      </w:r>
      <w:r w:rsidR="004B4D19">
        <w:rPr>
          <w:rFonts w:eastAsia="Osaka"/>
        </w:rPr>
        <w:t>1.2</w:t>
      </w:r>
      <w:r>
        <w:rPr>
          <w:rFonts w:eastAsia="Osaka"/>
        </w:rPr>
        <w:t>: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310"/>
        <w:gridCol w:w="2552"/>
      </w:tblGrid>
      <w:tr w:rsidR="00E85895" w:rsidTr="00006C04">
        <w:trPr>
          <w:jc w:val="center"/>
        </w:trPr>
        <w:tc>
          <w:tcPr>
            <w:tcW w:w="1796" w:type="dxa"/>
            <w:tcBorders>
              <w:top w:val="single" w:sz="4" w:space="0" w:color="auto"/>
              <w:left w:val="single" w:sz="4" w:space="0" w:color="auto"/>
              <w:bottom w:val="single" w:sz="4" w:space="0" w:color="auto"/>
              <w:right w:val="single" w:sz="4" w:space="0" w:color="auto"/>
            </w:tcBorders>
            <w:hideMark/>
          </w:tcPr>
          <w:p w:rsidR="00E85895" w:rsidRDefault="00E85895" w:rsidP="00006C04">
            <w:pPr>
              <w:pStyle w:val="TAH"/>
              <w:rPr>
                <w:rFonts w:cs="Arial"/>
              </w:rPr>
            </w:pPr>
            <w:commentRangeStart w:id="104"/>
            <w:r>
              <w:rPr>
                <w:rFonts w:cs="Arial"/>
              </w:rPr>
              <w:t>Base Station Type</w:t>
            </w:r>
          </w:p>
        </w:tc>
        <w:tc>
          <w:tcPr>
            <w:tcW w:w="2310" w:type="dxa"/>
            <w:tcBorders>
              <w:top w:val="single" w:sz="4" w:space="0" w:color="auto"/>
              <w:left w:val="single" w:sz="4" w:space="0" w:color="auto"/>
              <w:bottom w:val="single" w:sz="4" w:space="0" w:color="auto"/>
              <w:right w:val="single" w:sz="4" w:space="0" w:color="auto"/>
            </w:tcBorders>
            <w:hideMark/>
          </w:tcPr>
          <w:p w:rsidR="00E85895" w:rsidRDefault="00E85895" w:rsidP="00006C04">
            <w:pPr>
              <w:pStyle w:val="TAH"/>
              <w:rPr>
                <w:rFonts w:cs="Arial"/>
              </w:rPr>
            </w:pPr>
            <w:r>
              <w:rPr>
                <w:rFonts w:cs="Arial"/>
              </w:rPr>
              <w:t>Mean power of interfering signal [dBm]</w:t>
            </w:r>
          </w:p>
        </w:tc>
        <w:tc>
          <w:tcPr>
            <w:tcW w:w="2552" w:type="dxa"/>
            <w:tcBorders>
              <w:top w:val="single" w:sz="4" w:space="0" w:color="auto"/>
              <w:left w:val="single" w:sz="4" w:space="0" w:color="auto"/>
              <w:bottom w:val="single" w:sz="4" w:space="0" w:color="auto"/>
              <w:right w:val="single" w:sz="4" w:space="0" w:color="auto"/>
            </w:tcBorders>
            <w:hideMark/>
          </w:tcPr>
          <w:p w:rsidR="00E85895" w:rsidRDefault="00E85895" w:rsidP="00006C04">
            <w:pPr>
              <w:pStyle w:val="TAH"/>
              <w:rPr>
                <w:rFonts w:cs="Arial"/>
              </w:rPr>
            </w:pPr>
            <w:r>
              <w:rPr>
                <w:rFonts w:cs="Arial"/>
              </w:rPr>
              <w:t>Wanted Signal mean power [dBm]</w:t>
            </w:r>
          </w:p>
          <w:p w:rsidR="00E85895" w:rsidRDefault="00E85895" w:rsidP="00006C04">
            <w:pPr>
              <w:pStyle w:val="TAH"/>
              <w:jc w:val="left"/>
              <w:rPr>
                <w:rFonts w:cs="Arial"/>
              </w:rPr>
            </w:pPr>
          </w:p>
        </w:tc>
      </w:tr>
      <w:tr w:rsidR="00E85895" w:rsidRPr="00E85895" w:rsidTr="00006C04">
        <w:trPr>
          <w:jc w:val="center"/>
        </w:trPr>
        <w:tc>
          <w:tcPr>
            <w:tcW w:w="1796" w:type="dxa"/>
            <w:tcBorders>
              <w:top w:val="single" w:sz="4" w:space="0" w:color="auto"/>
              <w:left w:val="single" w:sz="4" w:space="0" w:color="auto"/>
              <w:bottom w:val="single" w:sz="4" w:space="0" w:color="auto"/>
              <w:right w:val="single" w:sz="4" w:space="0" w:color="auto"/>
            </w:tcBorders>
            <w:hideMark/>
          </w:tcPr>
          <w:p w:rsidR="00E85895" w:rsidRPr="00E85895" w:rsidRDefault="00E85895" w:rsidP="00006C04">
            <w:pPr>
              <w:pStyle w:val="TAC"/>
              <w:rPr>
                <w:rFonts w:cs="Arial"/>
              </w:rPr>
            </w:pPr>
            <w:r w:rsidRPr="00E85895">
              <w:rPr>
                <w:rFonts w:cs="Arial"/>
              </w:rPr>
              <w:t>Wide Area BS (option 1)</w:t>
            </w:r>
          </w:p>
        </w:tc>
        <w:tc>
          <w:tcPr>
            <w:tcW w:w="2310" w:type="dxa"/>
            <w:tcBorders>
              <w:top w:val="single" w:sz="4" w:space="0" w:color="auto"/>
              <w:left w:val="single" w:sz="4" w:space="0" w:color="auto"/>
              <w:bottom w:val="single" w:sz="4" w:space="0" w:color="auto"/>
              <w:right w:val="single" w:sz="4" w:space="0" w:color="auto"/>
            </w:tcBorders>
            <w:hideMark/>
          </w:tcPr>
          <w:p w:rsidR="00E85895" w:rsidRPr="00E85895" w:rsidRDefault="00E85895" w:rsidP="00006C04">
            <w:pPr>
              <w:pStyle w:val="TAC"/>
              <w:rPr>
                <w:rFonts w:cs="Arial"/>
              </w:rPr>
            </w:pPr>
            <w:r w:rsidRPr="00E85895">
              <w:rPr>
                <w:rFonts w:cs="Arial"/>
              </w:rPr>
              <w:t>- 30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5895" w:rsidRPr="00E85895" w:rsidRDefault="00E85895" w:rsidP="00006C04">
            <w:pPr>
              <w:pStyle w:val="TAC"/>
              <w:rPr>
                <w:rFonts w:cs="Arial"/>
              </w:rPr>
            </w:pPr>
            <w:r w:rsidRPr="00E85895">
              <w:rPr>
                <w:rFonts w:cs="Arial"/>
              </w:rPr>
              <w:t>P</w:t>
            </w:r>
            <w:r w:rsidRPr="00E85895">
              <w:rPr>
                <w:rFonts w:cs="Arial"/>
                <w:vertAlign w:val="subscript"/>
              </w:rPr>
              <w:t>REFSENS</w:t>
            </w:r>
            <w:r w:rsidRPr="00E85895">
              <w:rPr>
                <w:rFonts w:cs="Arial"/>
              </w:rPr>
              <w:t xml:space="preserve"> + 1 dB </w:t>
            </w:r>
          </w:p>
        </w:tc>
      </w:tr>
      <w:tr w:rsidR="00E85895" w:rsidRPr="00B96C98" w:rsidTr="00006C04">
        <w:trPr>
          <w:jc w:val="center"/>
        </w:trPr>
        <w:tc>
          <w:tcPr>
            <w:tcW w:w="1796" w:type="dxa"/>
            <w:tcBorders>
              <w:top w:val="single" w:sz="4" w:space="0" w:color="auto"/>
              <w:left w:val="single" w:sz="4" w:space="0" w:color="auto"/>
              <w:bottom w:val="single" w:sz="4" w:space="0" w:color="auto"/>
              <w:right w:val="single" w:sz="4" w:space="0" w:color="auto"/>
            </w:tcBorders>
          </w:tcPr>
          <w:p w:rsidR="00E85895" w:rsidRPr="00E85895" w:rsidRDefault="00E85895" w:rsidP="00006C04">
            <w:pPr>
              <w:pStyle w:val="TAC"/>
              <w:rPr>
                <w:rFonts w:cs="Arial"/>
              </w:rPr>
            </w:pPr>
            <w:r w:rsidRPr="00E85895">
              <w:rPr>
                <w:rFonts w:cs="Arial"/>
              </w:rPr>
              <w:t>Wide Area BS (option 2)</w:t>
            </w:r>
          </w:p>
        </w:tc>
        <w:tc>
          <w:tcPr>
            <w:tcW w:w="2310" w:type="dxa"/>
            <w:tcBorders>
              <w:top w:val="single" w:sz="4" w:space="0" w:color="auto"/>
              <w:left w:val="single" w:sz="4" w:space="0" w:color="auto"/>
              <w:bottom w:val="single" w:sz="4" w:space="0" w:color="auto"/>
              <w:right w:val="single" w:sz="4" w:space="0" w:color="auto"/>
            </w:tcBorders>
          </w:tcPr>
          <w:p w:rsidR="00E85895" w:rsidRPr="00E85895" w:rsidRDefault="00E85895" w:rsidP="00006C04">
            <w:pPr>
              <w:pStyle w:val="TAC"/>
              <w:rPr>
                <w:rFonts w:cs="Arial"/>
              </w:rPr>
            </w:pPr>
            <w:r w:rsidRPr="00E85895">
              <w:rPr>
                <w:rFonts w:cs="Arial"/>
              </w:rPr>
              <w:t>-19.5</w:t>
            </w:r>
          </w:p>
        </w:tc>
        <w:tc>
          <w:tcPr>
            <w:tcW w:w="2552" w:type="dxa"/>
            <w:tcBorders>
              <w:top w:val="single" w:sz="4" w:space="0" w:color="auto"/>
              <w:left w:val="single" w:sz="4" w:space="0" w:color="auto"/>
              <w:bottom w:val="single" w:sz="4" w:space="0" w:color="auto"/>
              <w:right w:val="single" w:sz="4" w:space="0" w:color="auto"/>
            </w:tcBorders>
            <w:vAlign w:val="center"/>
          </w:tcPr>
          <w:p w:rsidR="00E85895" w:rsidRPr="00B96C98" w:rsidRDefault="00E85895" w:rsidP="00006C04">
            <w:pPr>
              <w:pStyle w:val="TAC"/>
              <w:rPr>
                <w:rFonts w:cs="Arial"/>
              </w:rPr>
            </w:pPr>
            <w:r w:rsidRPr="00E85895">
              <w:rPr>
                <w:rFonts w:cs="Arial"/>
              </w:rPr>
              <w:t>P</w:t>
            </w:r>
            <w:r w:rsidRPr="00E85895">
              <w:rPr>
                <w:rFonts w:cs="Arial"/>
                <w:vertAlign w:val="subscript"/>
              </w:rPr>
              <w:t>REFSENS</w:t>
            </w:r>
            <w:r w:rsidRPr="00E85895">
              <w:rPr>
                <w:rFonts w:cs="Arial"/>
              </w:rPr>
              <w:t xml:space="preserve"> + 6 dB</w:t>
            </w:r>
            <w:commentRangeEnd w:id="104"/>
            <w:r>
              <w:rPr>
                <w:rStyle w:val="CommentReference"/>
                <w:rFonts w:ascii="Times New Roman" w:hAnsi="Times New Roman"/>
              </w:rPr>
              <w:commentReference w:id="104"/>
            </w:r>
          </w:p>
        </w:tc>
      </w:tr>
    </w:tbl>
    <w:p w:rsidR="00E85895" w:rsidRPr="00E85895" w:rsidRDefault="00E85895" w:rsidP="00E85895">
      <w:pPr>
        <w:pStyle w:val="FL"/>
        <w:rPr>
          <w:rFonts w:eastAsia="Osak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310"/>
        <w:gridCol w:w="2552"/>
        <w:gridCol w:w="2297"/>
      </w:tblGrid>
      <w:tr w:rsidR="00B96C98" w:rsidTr="00B96C98">
        <w:trPr>
          <w:jc w:val="center"/>
        </w:trPr>
        <w:tc>
          <w:tcPr>
            <w:tcW w:w="1796" w:type="dxa"/>
            <w:tcBorders>
              <w:top w:val="single" w:sz="4" w:space="0" w:color="auto"/>
              <w:left w:val="single" w:sz="4" w:space="0" w:color="auto"/>
              <w:bottom w:val="single" w:sz="4" w:space="0" w:color="auto"/>
              <w:right w:val="single" w:sz="4" w:space="0" w:color="auto"/>
            </w:tcBorders>
            <w:hideMark/>
          </w:tcPr>
          <w:p w:rsidR="00B96C98" w:rsidRDefault="00B96C98">
            <w:pPr>
              <w:pStyle w:val="TAH"/>
              <w:rPr>
                <w:rFonts w:cs="Arial"/>
              </w:rPr>
            </w:pPr>
            <w:r>
              <w:rPr>
                <w:rFonts w:cs="Arial"/>
              </w:rPr>
              <w:t>Base Station Type</w:t>
            </w:r>
          </w:p>
        </w:tc>
        <w:tc>
          <w:tcPr>
            <w:tcW w:w="2310" w:type="dxa"/>
            <w:tcBorders>
              <w:top w:val="single" w:sz="4" w:space="0" w:color="auto"/>
              <w:left w:val="single" w:sz="4" w:space="0" w:color="auto"/>
              <w:bottom w:val="single" w:sz="4" w:space="0" w:color="auto"/>
              <w:right w:val="single" w:sz="4" w:space="0" w:color="auto"/>
            </w:tcBorders>
            <w:hideMark/>
          </w:tcPr>
          <w:p w:rsidR="00B96C98" w:rsidRDefault="00B96C98">
            <w:pPr>
              <w:pStyle w:val="TAH"/>
              <w:rPr>
                <w:rFonts w:cs="Arial"/>
              </w:rPr>
            </w:pPr>
            <w:r>
              <w:rPr>
                <w:rFonts w:cs="Arial"/>
              </w:rPr>
              <w:t>Mean power of interfering signal [dBm]</w:t>
            </w:r>
          </w:p>
        </w:tc>
        <w:tc>
          <w:tcPr>
            <w:tcW w:w="2552" w:type="dxa"/>
            <w:tcBorders>
              <w:top w:val="single" w:sz="4" w:space="0" w:color="auto"/>
              <w:left w:val="single" w:sz="4" w:space="0" w:color="auto"/>
              <w:bottom w:val="single" w:sz="4" w:space="0" w:color="auto"/>
              <w:right w:val="single" w:sz="4" w:space="0" w:color="auto"/>
            </w:tcBorders>
            <w:hideMark/>
          </w:tcPr>
          <w:p w:rsidR="00B96C98" w:rsidRDefault="00B96C98">
            <w:pPr>
              <w:pStyle w:val="TAH"/>
              <w:rPr>
                <w:rFonts w:cs="Arial"/>
              </w:rPr>
            </w:pPr>
            <w:r>
              <w:rPr>
                <w:rFonts w:cs="Arial"/>
              </w:rPr>
              <w:t>Wanted Signal mean power [dBm]</w:t>
            </w:r>
          </w:p>
          <w:p w:rsidR="00B96C98" w:rsidRDefault="00B96C98">
            <w:pPr>
              <w:pStyle w:val="TAH"/>
              <w:rPr>
                <w:rFonts w:cs="Arial"/>
              </w:rPr>
            </w:pPr>
            <w:r>
              <w:rPr>
                <w:rFonts w:cs="Arial"/>
              </w:rPr>
              <w:t>(Note 1)</w:t>
            </w:r>
          </w:p>
        </w:tc>
        <w:tc>
          <w:tcPr>
            <w:tcW w:w="2297" w:type="dxa"/>
            <w:tcBorders>
              <w:top w:val="single" w:sz="4" w:space="0" w:color="auto"/>
              <w:left w:val="single" w:sz="4" w:space="0" w:color="auto"/>
              <w:bottom w:val="single" w:sz="4" w:space="0" w:color="auto"/>
              <w:right w:val="single" w:sz="4" w:space="0" w:color="auto"/>
            </w:tcBorders>
            <w:hideMark/>
          </w:tcPr>
          <w:p w:rsidR="00B96C98" w:rsidRDefault="00B96C98">
            <w:pPr>
              <w:pStyle w:val="TAH"/>
              <w:rPr>
                <w:rFonts w:cs="Arial"/>
              </w:rPr>
            </w:pPr>
            <w:r>
              <w:rPr>
                <w:rFonts w:cs="Arial"/>
              </w:rPr>
              <w:t>Centre Frequency of Interfering Signal</w:t>
            </w:r>
          </w:p>
        </w:tc>
      </w:tr>
      <w:tr w:rsidR="00B96C98" w:rsidRPr="00B96C98" w:rsidTr="00B96C98">
        <w:trPr>
          <w:jc w:val="center"/>
        </w:trPr>
        <w:tc>
          <w:tcPr>
            <w:tcW w:w="1796" w:type="dxa"/>
            <w:tcBorders>
              <w:top w:val="single" w:sz="4" w:space="0" w:color="auto"/>
              <w:left w:val="single" w:sz="4" w:space="0" w:color="auto"/>
              <w:bottom w:val="single" w:sz="4" w:space="0" w:color="auto"/>
              <w:right w:val="single" w:sz="4" w:space="0" w:color="auto"/>
            </w:tcBorders>
            <w:hideMark/>
          </w:tcPr>
          <w:p w:rsidR="00B96C98" w:rsidRPr="00B96C98" w:rsidRDefault="00B96C98">
            <w:pPr>
              <w:pStyle w:val="TAC"/>
              <w:rPr>
                <w:rFonts w:cs="Arial"/>
              </w:rPr>
            </w:pPr>
            <w:r w:rsidRPr="00B96C98">
              <w:rPr>
                <w:rFonts w:cs="Arial"/>
              </w:rPr>
              <w:t>Wide Area BS</w:t>
            </w:r>
          </w:p>
        </w:tc>
        <w:tc>
          <w:tcPr>
            <w:tcW w:w="2310" w:type="dxa"/>
            <w:tcBorders>
              <w:top w:val="single" w:sz="4" w:space="0" w:color="auto"/>
              <w:left w:val="single" w:sz="4" w:space="0" w:color="auto"/>
              <w:bottom w:val="single" w:sz="4" w:space="0" w:color="auto"/>
              <w:right w:val="single" w:sz="4" w:space="0" w:color="auto"/>
            </w:tcBorders>
            <w:hideMark/>
          </w:tcPr>
          <w:p w:rsidR="00B96C98" w:rsidRPr="00B1557D" w:rsidRDefault="00B96C98">
            <w:pPr>
              <w:pStyle w:val="TAC"/>
              <w:rPr>
                <w:rFonts w:cs="Arial"/>
                <w:highlight w:val="yellow"/>
              </w:rPr>
            </w:pPr>
            <w:r w:rsidRPr="00B1557D">
              <w:rPr>
                <w:rFonts w:cs="Arial"/>
                <w:highlight w:val="yellow"/>
              </w:rPr>
              <w:t>[- 17.5]+y (Note 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96C98" w:rsidRPr="00B96C98" w:rsidRDefault="00B96C98">
            <w:pPr>
              <w:pStyle w:val="TAC"/>
              <w:rPr>
                <w:rFonts w:cs="Arial"/>
              </w:rPr>
            </w:pPr>
            <w:r w:rsidRPr="00B96C98">
              <w:rPr>
                <w:rFonts w:cs="Arial"/>
              </w:rPr>
              <w:t>P</w:t>
            </w:r>
            <w:r w:rsidRPr="00B96C98">
              <w:rPr>
                <w:rFonts w:cs="Arial"/>
                <w:vertAlign w:val="subscript"/>
              </w:rPr>
              <w:t>REFSENS</w:t>
            </w:r>
            <w:r w:rsidRPr="00B96C98">
              <w:rPr>
                <w:rFonts w:cs="Arial"/>
              </w:rPr>
              <w:t xml:space="preserve"> + x dB </w:t>
            </w:r>
            <w:r w:rsidRPr="00B96C98">
              <w:rPr>
                <w:rFonts w:cs="Arial"/>
              </w:rPr>
              <w:br/>
              <w:t>(Note 2)</w:t>
            </w:r>
          </w:p>
        </w:tc>
        <w:tc>
          <w:tcPr>
            <w:tcW w:w="2297" w:type="dxa"/>
            <w:vMerge w:val="restart"/>
            <w:tcBorders>
              <w:top w:val="single" w:sz="4" w:space="0" w:color="auto"/>
              <w:left w:val="single" w:sz="4" w:space="0" w:color="auto"/>
              <w:right w:val="single" w:sz="4" w:space="0" w:color="auto"/>
            </w:tcBorders>
            <w:vAlign w:val="center"/>
            <w:hideMark/>
          </w:tcPr>
          <w:p w:rsidR="00B96C98" w:rsidRPr="00B96C98" w:rsidRDefault="00B96C98">
            <w:pPr>
              <w:pStyle w:val="TAC"/>
              <w:rPr>
                <w:rFonts w:cs="Arial"/>
              </w:rPr>
            </w:pPr>
            <w:r w:rsidRPr="00B96C98">
              <w:rPr>
                <w:rFonts w:cs="Arial"/>
              </w:rPr>
              <w:t>1905 MHz</w:t>
            </w:r>
          </w:p>
        </w:tc>
      </w:tr>
      <w:tr w:rsidR="00B96C98" w:rsidRPr="00B96C98" w:rsidTr="00B96C98">
        <w:trPr>
          <w:jc w:val="center"/>
        </w:trPr>
        <w:tc>
          <w:tcPr>
            <w:tcW w:w="1796" w:type="dxa"/>
            <w:tcBorders>
              <w:top w:val="single" w:sz="4" w:space="0" w:color="auto"/>
              <w:left w:val="single" w:sz="4" w:space="0" w:color="auto"/>
              <w:bottom w:val="single" w:sz="4" w:space="0" w:color="auto"/>
              <w:right w:val="single" w:sz="4" w:space="0" w:color="auto"/>
            </w:tcBorders>
            <w:hideMark/>
          </w:tcPr>
          <w:p w:rsidR="00B96C98" w:rsidRPr="00B96C98" w:rsidRDefault="00B96C98">
            <w:pPr>
              <w:pStyle w:val="TAC"/>
              <w:rPr>
                <w:rFonts w:cs="Arial"/>
              </w:rPr>
            </w:pPr>
            <w:commentRangeStart w:id="105"/>
            <w:r w:rsidRPr="00B96C98">
              <w:rPr>
                <w:rFonts w:cs="Arial"/>
              </w:rPr>
              <w:t>Medium Range BS</w:t>
            </w:r>
            <w:commentRangeEnd w:id="105"/>
            <w:r w:rsidR="00E85895">
              <w:rPr>
                <w:rStyle w:val="CommentReference"/>
                <w:rFonts w:ascii="Times New Roman" w:hAnsi="Times New Roman"/>
              </w:rPr>
              <w:commentReference w:id="105"/>
            </w:r>
          </w:p>
        </w:tc>
        <w:tc>
          <w:tcPr>
            <w:tcW w:w="2310" w:type="dxa"/>
            <w:tcBorders>
              <w:top w:val="single" w:sz="4" w:space="0" w:color="auto"/>
              <w:left w:val="single" w:sz="4" w:space="0" w:color="auto"/>
              <w:bottom w:val="single" w:sz="4" w:space="0" w:color="auto"/>
              <w:right w:val="single" w:sz="4" w:space="0" w:color="auto"/>
            </w:tcBorders>
            <w:hideMark/>
          </w:tcPr>
          <w:p w:rsidR="00B96C98" w:rsidRPr="00B1557D" w:rsidRDefault="00B96C98" w:rsidP="00E10FB5">
            <w:pPr>
              <w:pStyle w:val="TAC"/>
              <w:rPr>
                <w:rFonts w:cs="Arial"/>
                <w:highlight w:val="yellow"/>
              </w:rPr>
            </w:pPr>
            <w:r w:rsidRPr="00B1557D">
              <w:rPr>
                <w:rFonts w:cs="Arial"/>
                <w:highlight w:val="yellow"/>
              </w:rPr>
              <w:t>[-12.5]+y (Note 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96C98" w:rsidRPr="00B96C98" w:rsidRDefault="00B96C98">
            <w:pPr>
              <w:pStyle w:val="TAC"/>
              <w:rPr>
                <w:rFonts w:cs="Arial"/>
              </w:rPr>
            </w:pPr>
            <w:r w:rsidRPr="00B96C98">
              <w:rPr>
                <w:rFonts w:cs="Arial"/>
              </w:rPr>
              <w:t>P</w:t>
            </w:r>
            <w:r w:rsidRPr="00B96C98">
              <w:rPr>
                <w:rFonts w:cs="Arial"/>
                <w:vertAlign w:val="subscript"/>
              </w:rPr>
              <w:t>REFSENS</w:t>
            </w:r>
            <w:r w:rsidRPr="00B96C98">
              <w:rPr>
                <w:rFonts w:cs="Arial"/>
              </w:rPr>
              <w:t xml:space="preserve"> + x dB </w:t>
            </w:r>
            <w:r w:rsidRPr="00B96C98">
              <w:rPr>
                <w:rFonts w:cs="Arial"/>
              </w:rPr>
              <w:br/>
              <w:t>(Note 3, 5)</w:t>
            </w:r>
          </w:p>
        </w:tc>
        <w:tc>
          <w:tcPr>
            <w:tcW w:w="2297" w:type="dxa"/>
            <w:vMerge/>
            <w:tcBorders>
              <w:left w:val="single" w:sz="4" w:space="0" w:color="auto"/>
              <w:right w:val="single" w:sz="4" w:space="0" w:color="auto"/>
            </w:tcBorders>
            <w:vAlign w:val="center"/>
            <w:hideMark/>
          </w:tcPr>
          <w:p w:rsidR="00B96C98" w:rsidRPr="00B96C98" w:rsidRDefault="00B96C98">
            <w:pPr>
              <w:overflowPunct/>
              <w:autoSpaceDE/>
              <w:autoSpaceDN/>
              <w:adjustRightInd/>
              <w:spacing w:after="0"/>
              <w:rPr>
                <w:rFonts w:ascii="Arial" w:hAnsi="Arial" w:cs="Arial"/>
                <w:sz w:val="18"/>
              </w:rPr>
            </w:pPr>
          </w:p>
        </w:tc>
      </w:tr>
      <w:tr w:rsidR="00B96C98" w:rsidTr="00B96C98">
        <w:trPr>
          <w:jc w:val="center"/>
        </w:trPr>
        <w:tc>
          <w:tcPr>
            <w:tcW w:w="1796" w:type="dxa"/>
            <w:tcBorders>
              <w:top w:val="single" w:sz="4" w:space="0" w:color="auto"/>
              <w:left w:val="single" w:sz="4" w:space="0" w:color="auto"/>
              <w:bottom w:val="single" w:sz="4" w:space="0" w:color="auto"/>
              <w:right w:val="single" w:sz="4" w:space="0" w:color="auto"/>
            </w:tcBorders>
            <w:hideMark/>
          </w:tcPr>
          <w:p w:rsidR="00B96C98" w:rsidRPr="00B96C98" w:rsidRDefault="00B96C98">
            <w:pPr>
              <w:pStyle w:val="TAC"/>
              <w:rPr>
                <w:rFonts w:cs="Arial"/>
              </w:rPr>
            </w:pPr>
            <w:r w:rsidRPr="00B96C98">
              <w:rPr>
                <w:rFonts w:cs="Arial"/>
              </w:rPr>
              <w:t>Local Area BS</w:t>
            </w:r>
          </w:p>
        </w:tc>
        <w:tc>
          <w:tcPr>
            <w:tcW w:w="2310" w:type="dxa"/>
            <w:tcBorders>
              <w:top w:val="single" w:sz="4" w:space="0" w:color="auto"/>
              <w:left w:val="single" w:sz="4" w:space="0" w:color="auto"/>
              <w:bottom w:val="single" w:sz="4" w:space="0" w:color="auto"/>
              <w:right w:val="single" w:sz="4" w:space="0" w:color="auto"/>
            </w:tcBorders>
            <w:hideMark/>
          </w:tcPr>
          <w:p w:rsidR="00B96C98" w:rsidRPr="00B1557D" w:rsidRDefault="00B96C98" w:rsidP="00E10FB5">
            <w:pPr>
              <w:pStyle w:val="TAC"/>
              <w:rPr>
                <w:rFonts w:cs="Arial"/>
                <w:highlight w:val="yellow"/>
              </w:rPr>
            </w:pPr>
            <w:r w:rsidRPr="00B1557D">
              <w:rPr>
                <w:rFonts w:cs="Arial"/>
                <w:highlight w:val="yellow"/>
              </w:rPr>
              <w:t>[-7.5]+y (Note 7)</w:t>
            </w:r>
          </w:p>
        </w:tc>
        <w:tc>
          <w:tcPr>
            <w:tcW w:w="2552" w:type="dxa"/>
            <w:tcBorders>
              <w:top w:val="single" w:sz="4" w:space="0" w:color="auto"/>
              <w:left w:val="single" w:sz="4" w:space="0" w:color="auto"/>
              <w:bottom w:val="single" w:sz="4" w:space="0" w:color="auto"/>
              <w:right w:val="single" w:sz="4" w:space="0" w:color="auto"/>
            </w:tcBorders>
            <w:hideMark/>
          </w:tcPr>
          <w:p w:rsidR="00B96C98" w:rsidRDefault="00B96C98">
            <w:pPr>
              <w:pStyle w:val="TAC"/>
              <w:rPr>
                <w:rFonts w:cs="Arial"/>
              </w:rPr>
            </w:pPr>
            <w:r w:rsidRPr="00B96C98">
              <w:rPr>
                <w:rFonts w:cs="Arial"/>
              </w:rPr>
              <w:t>P</w:t>
            </w:r>
            <w:r w:rsidRPr="00B96C98">
              <w:rPr>
                <w:rFonts w:cs="Arial"/>
                <w:vertAlign w:val="subscript"/>
              </w:rPr>
              <w:t>REFSENS</w:t>
            </w:r>
            <w:r w:rsidRPr="00B96C98">
              <w:rPr>
                <w:rFonts w:cs="Arial"/>
              </w:rPr>
              <w:t xml:space="preserve"> + x dB </w:t>
            </w:r>
            <w:r w:rsidRPr="00B96C98">
              <w:rPr>
                <w:rFonts w:cs="Arial"/>
              </w:rPr>
              <w:br/>
              <w:t>(Note 4, 5)</w:t>
            </w:r>
          </w:p>
        </w:tc>
        <w:tc>
          <w:tcPr>
            <w:tcW w:w="2297" w:type="dxa"/>
            <w:vMerge/>
            <w:tcBorders>
              <w:left w:val="single" w:sz="4" w:space="0" w:color="auto"/>
              <w:bottom w:val="single" w:sz="4" w:space="0" w:color="auto"/>
              <w:right w:val="single" w:sz="4" w:space="0" w:color="auto"/>
            </w:tcBorders>
            <w:vAlign w:val="center"/>
            <w:hideMark/>
          </w:tcPr>
          <w:p w:rsidR="00B96C98" w:rsidRDefault="00B96C98">
            <w:pPr>
              <w:overflowPunct/>
              <w:autoSpaceDE/>
              <w:autoSpaceDN/>
              <w:adjustRightInd/>
              <w:spacing w:after="0"/>
              <w:rPr>
                <w:rFonts w:ascii="Arial" w:hAnsi="Arial" w:cs="Arial"/>
                <w:sz w:val="18"/>
              </w:rPr>
            </w:pPr>
          </w:p>
        </w:tc>
      </w:tr>
      <w:tr w:rsidR="000B49F2" w:rsidTr="000B49F2">
        <w:trPr>
          <w:jc w:val="center"/>
        </w:trPr>
        <w:tc>
          <w:tcPr>
            <w:tcW w:w="8955" w:type="dxa"/>
            <w:gridSpan w:val="4"/>
            <w:tcBorders>
              <w:top w:val="single" w:sz="4" w:space="0" w:color="auto"/>
              <w:left w:val="single" w:sz="4" w:space="0" w:color="auto"/>
              <w:bottom w:val="single" w:sz="4" w:space="0" w:color="auto"/>
              <w:right w:val="single" w:sz="4" w:space="0" w:color="auto"/>
            </w:tcBorders>
            <w:hideMark/>
          </w:tcPr>
          <w:p w:rsidR="000B49F2" w:rsidRDefault="000B49F2">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 the BS class and on the channel bandwidth, see subclause 7.2</w:t>
            </w:r>
            <w:r w:rsidR="00876650">
              <w:rPr>
                <w:rFonts w:cs="Arial"/>
              </w:rPr>
              <w:t xml:space="preserve"> of </w:t>
            </w:r>
            <w:r>
              <w:rPr>
                <w:rFonts w:cs="Arial"/>
              </w:rPr>
              <w:t>.</w:t>
            </w:r>
            <w:r w:rsidR="00876650">
              <w:rPr>
                <w:rFonts w:cs="Arial"/>
              </w:rPr>
              <w:t>TS 137 141 [1]</w:t>
            </w:r>
          </w:p>
          <w:p w:rsidR="000B49F2" w:rsidRDefault="000B49F2">
            <w:pPr>
              <w:pStyle w:val="TAN"/>
              <w:rPr>
                <w:rFonts w:cs="Arial"/>
              </w:rPr>
            </w:pPr>
            <w:r>
              <w:rPr>
                <w:rFonts w:cs="Arial"/>
              </w:rPr>
              <w:t>NOTE 2:</w:t>
            </w:r>
            <w:r>
              <w:rPr>
                <w:rFonts w:cs="Arial"/>
              </w:rPr>
              <w:tab/>
              <w:t xml:space="preserve">For WA BS, "x" is equal to 6 in case of NR or E-UTRA or UTRA </w:t>
            </w:r>
            <w:r>
              <w:rPr>
                <w:rFonts w:cs="Arial"/>
                <w:lang w:eastAsia="zh-CN"/>
              </w:rPr>
              <w:t xml:space="preserve">or NB-IoT </w:t>
            </w:r>
            <w:r>
              <w:rPr>
                <w:rFonts w:cs="Arial"/>
              </w:rPr>
              <w:t xml:space="preserve">wanted signals and equal to 3 in case of GSM/EDGE wanted signal. </w:t>
            </w:r>
          </w:p>
          <w:p w:rsidR="000B49F2" w:rsidRDefault="000B49F2">
            <w:pPr>
              <w:pStyle w:val="TAN"/>
              <w:rPr>
                <w:rFonts w:cs="Arial"/>
              </w:rPr>
            </w:pPr>
            <w:r>
              <w:rPr>
                <w:rFonts w:cs="Arial"/>
              </w:rPr>
              <w:t>NOTE 3:</w:t>
            </w:r>
            <w:r>
              <w:rPr>
                <w:rFonts w:cs="Arial"/>
              </w:rPr>
              <w:tab/>
              <w:t>For MR BS supporting GSM and/or UTRA, "x" is equal to 6 in case of UTRA wanted signals, 9 in case of NR or E-UTRA or NB-IoT wanted signal and 3 in case of GSM/EDGE wanted signal.</w:t>
            </w:r>
          </w:p>
          <w:p w:rsidR="000B49F2" w:rsidRDefault="000B49F2">
            <w:pPr>
              <w:pStyle w:val="TAN"/>
              <w:rPr>
                <w:rFonts w:cs="Arial"/>
              </w:rPr>
            </w:pPr>
            <w:r>
              <w:rPr>
                <w:rFonts w:cs="Arial"/>
              </w:rPr>
              <w:t>NOTE 4:</w:t>
            </w:r>
            <w:r>
              <w:rPr>
                <w:rFonts w:cs="Arial"/>
              </w:rPr>
              <w:tab/>
              <w:t>For LA BS supporting GSM and/or UTRA, "x" is equal to 11 in case of NR or E-UTRA or NB-IoT wanted signal, 6 in case of UTRA wanted signal and equal to 3 in case of GSM/EDGE wanted signal.</w:t>
            </w:r>
          </w:p>
          <w:p w:rsidR="000B49F2" w:rsidRDefault="000B49F2">
            <w:pPr>
              <w:pStyle w:val="TAN"/>
              <w:rPr>
                <w:rFonts w:cs="Arial"/>
              </w:rPr>
            </w:pPr>
            <w:r>
              <w:rPr>
                <w:rFonts w:cs="Arial"/>
              </w:rPr>
              <w:t>NOTE 5:</w:t>
            </w:r>
            <w:r>
              <w:rPr>
                <w:rFonts w:cs="Arial"/>
              </w:rPr>
              <w:tab/>
              <w:t xml:space="preserve">For a BS </w:t>
            </w:r>
            <w:r>
              <w:t>neither supporting UTRA nor GSM</w:t>
            </w:r>
            <w:r>
              <w:rPr>
                <w:rFonts w:cs="Arial"/>
              </w:rPr>
              <w:t>, x is equal to 6 for all BS classes if NR is supported, otherwise "x" is equal to 9 for MR BS or 11 for LA BS if NR is not supported.</w:t>
            </w:r>
          </w:p>
          <w:p w:rsidR="000B49F2" w:rsidRDefault="000B49F2">
            <w:pPr>
              <w:pStyle w:val="TAN"/>
              <w:rPr>
                <w:rFonts w:cs="Arial"/>
              </w:rPr>
            </w:pPr>
            <w:r>
              <w:rPr>
                <w:rFonts w:cs="Arial"/>
              </w:rPr>
              <w:t>NOTE 6:</w:t>
            </w:r>
            <w:r>
              <w:rPr>
                <w:rFonts w:cs="Arial"/>
              </w:rPr>
              <w:tab/>
            </w:r>
            <w:r>
              <w:rPr>
                <w:rFonts w:cs="v3.8.0"/>
              </w:rPr>
              <w:t xml:space="preserve">For a BS capable of multi-band operation, </w:t>
            </w:r>
            <w:r>
              <w:rPr>
                <w:rFonts w:cs="Arial"/>
              </w:rPr>
              <w:t>"x" i</w:t>
            </w:r>
            <w:r>
              <w:rPr>
                <w:rFonts w:cs="Arial"/>
                <w:lang w:eastAsia="zh-CN"/>
              </w:rPr>
              <w:t>n Note 2, 3, 4, 5 applies</w:t>
            </w:r>
            <w:r>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0B49F2" w:rsidRDefault="000B49F2">
            <w:pPr>
              <w:pStyle w:val="TAN"/>
              <w:rPr>
                <w:rFonts w:cs="Arial"/>
              </w:rPr>
            </w:pPr>
            <w:r>
              <w:rPr>
                <w:rFonts w:cs="Arial"/>
              </w:rPr>
              <w:t>NOTE 7:</w:t>
            </w:r>
            <w:r>
              <w:rPr>
                <w:rFonts w:cs="Arial"/>
              </w:rPr>
              <w:tab/>
            </w:r>
            <w:r>
              <w:t xml:space="preserve">For a BS supporting NR but neither supporting UTRA nor GSM, </w:t>
            </w:r>
            <w:r>
              <w:rPr>
                <w:rFonts w:cs="Arial"/>
              </w:rPr>
              <w:t>"</w:t>
            </w:r>
            <w:r>
              <w:t>y</w:t>
            </w:r>
            <w:r>
              <w:rPr>
                <w:rFonts w:cs="Arial"/>
              </w:rPr>
              <w:t>"</w:t>
            </w:r>
            <w:r>
              <w:t xml:space="preserve"> is equal to -3 for the WA and MR BS class and -5 for the LA BS class. For all other cases, </w:t>
            </w:r>
            <w:r>
              <w:rPr>
                <w:rFonts w:cs="Arial"/>
              </w:rPr>
              <w:t>"</w:t>
            </w:r>
            <w:r>
              <w:t>y</w:t>
            </w:r>
            <w:r>
              <w:rPr>
                <w:rFonts w:cs="Arial"/>
              </w:rPr>
              <w:t>"</w:t>
            </w:r>
            <w:r>
              <w:t xml:space="preserve"> is equal to zero for all BS classes</w:t>
            </w:r>
          </w:p>
          <w:p w:rsidR="000B49F2" w:rsidRDefault="000B49F2">
            <w:pPr>
              <w:pStyle w:val="TAN"/>
              <w:rPr>
                <w:rFonts w:cs="Arial"/>
              </w:rPr>
            </w:pPr>
          </w:p>
        </w:tc>
      </w:tr>
    </w:tbl>
    <w:p w:rsidR="000B49F2" w:rsidRPr="000B49F2" w:rsidRDefault="000B49F2" w:rsidP="00C27C27"/>
    <w:p w:rsidR="00E71784" w:rsidRPr="00E71784" w:rsidRDefault="008B3D2B" w:rsidP="008B3D2B">
      <w:pPr>
        <w:pStyle w:val="Heading3"/>
      </w:pPr>
      <w:bookmarkStart w:id="106" w:name="_Toc66272921"/>
      <w:r>
        <w:t>4.1.2</w:t>
      </w:r>
      <w:r>
        <w:tab/>
      </w:r>
      <w:r w:rsidRPr="008B3D2B">
        <w:t>Testing for compliance with technical requirements</w:t>
      </w:r>
      <w:bookmarkEnd w:id="106"/>
    </w:p>
    <w:p w:rsidR="00521F39" w:rsidRDefault="00E85895" w:rsidP="00E85895">
      <w:pPr>
        <w:ind w:left="852" w:hanging="852"/>
        <w:rPr>
          <w:highlight w:val="yellow"/>
        </w:rPr>
      </w:pPr>
      <w:commentRangeStart w:id="107"/>
      <w:r w:rsidRPr="00006C04">
        <w:rPr>
          <w:highlight w:val="yellow"/>
        </w:rPr>
        <w:t>- For MSR BS, the test suite specified in ETSI EN 301 908-18 [5], clause 5.3.7 shall be used</w:t>
      </w:r>
    </w:p>
    <w:p w:rsidR="00E85895" w:rsidRPr="00D92C70" w:rsidRDefault="00521F39" w:rsidP="00E85895">
      <w:pPr>
        <w:ind w:left="852" w:hanging="852"/>
      </w:pPr>
      <w:r>
        <w:rPr>
          <w:highlight w:val="yellow"/>
        </w:rPr>
        <w:t>- For XXX</w:t>
      </w:r>
      <w:r w:rsidR="00E85895" w:rsidRPr="00006C04">
        <w:rPr>
          <w:highlight w:val="yellow"/>
        </w:rPr>
        <w:t>.</w:t>
      </w:r>
      <w:commentRangeEnd w:id="107"/>
      <w:r w:rsidR="00E85895">
        <w:rPr>
          <w:rStyle w:val="CommentReference"/>
        </w:rPr>
        <w:commentReference w:id="107"/>
      </w:r>
    </w:p>
    <w:p w:rsidR="00E35133" w:rsidRDefault="00E35133">
      <w:pPr>
        <w:overflowPunct/>
        <w:autoSpaceDE/>
        <w:autoSpaceDN/>
        <w:adjustRightInd/>
        <w:spacing w:after="0"/>
        <w:textAlignment w:val="auto"/>
      </w:pPr>
    </w:p>
    <w:p w:rsidR="000E1E1A" w:rsidRDefault="00CC22E7" w:rsidP="00B83802">
      <w:pPr>
        <w:pStyle w:val="Heading2"/>
        <w:spacing w:before="120"/>
      </w:pPr>
      <w:bookmarkStart w:id="108" w:name="_Toc66272922"/>
      <w:r>
        <w:t>4.2</w:t>
      </w:r>
      <w:r w:rsidR="00E35133">
        <w:tab/>
      </w:r>
      <w:bookmarkEnd w:id="108"/>
      <w:r w:rsidR="00E85895">
        <w:t>Protection of radiolocation below 3</w:t>
      </w:r>
      <w:r w:rsidR="00E85895" w:rsidRPr="000E1E1A">
        <w:t xml:space="preserve">400 MHz </w:t>
      </w:r>
      <w:r w:rsidR="00E85895">
        <w:t xml:space="preserve">for </w:t>
      </w:r>
      <w:r w:rsidR="00E85895" w:rsidRPr="000E1E1A">
        <w:t>country-specific cases</w:t>
      </w:r>
      <w:r w:rsidR="000E1E1A" w:rsidRPr="000E1E1A">
        <w:t xml:space="preserve"> </w:t>
      </w:r>
    </w:p>
    <w:p w:rsidR="00E85895" w:rsidRDefault="00E85895" w:rsidP="00E85895">
      <w:pPr>
        <w:overflowPunct/>
        <w:autoSpaceDE/>
        <w:autoSpaceDN/>
        <w:adjustRightInd/>
        <w:spacing w:after="0"/>
        <w:textAlignment w:val="auto"/>
      </w:pPr>
      <w:r>
        <w:t xml:space="preserve">The requirement in this </w:t>
      </w:r>
      <w:r w:rsidR="00521F39">
        <w:t>clause applies</w:t>
      </w:r>
      <w:r>
        <w:t xml:space="preserve"> to non-AAS and AAS base stations</w:t>
      </w:r>
      <w:r w:rsidRPr="000E1E1A">
        <w:t xml:space="preserve"> </w:t>
      </w:r>
      <w:r>
        <w:t>BSs to ensure the</w:t>
      </w:r>
      <w:r w:rsidRPr="000E1E1A">
        <w:t xml:space="preserve"> protection of military radiolocation </w:t>
      </w:r>
      <w:r>
        <w:t xml:space="preserve">operating below 3400 MHz </w:t>
      </w:r>
      <w:r w:rsidRPr="000E1E1A">
        <w:t>in some countries</w:t>
      </w:r>
      <w:r>
        <w:t>, in accordance to [i.3][i.4]</w:t>
      </w:r>
      <w:r w:rsidRPr="000E1E1A">
        <w:t xml:space="preserve">. </w:t>
      </w:r>
      <w:r>
        <w:t>Applicability of this requirement is on national basis.</w:t>
      </w:r>
    </w:p>
    <w:p w:rsidR="00E85895" w:rsidRDefault="00E85895" w:rsidP="00E85895">
      <w:pPr>
        <w:overflowPunct/>
        <w:autoSpaceDE/>
        <w:autoSpaceDN/>
        <w:adjustRightInd/>
        <w:spacing w:after="0"/>
        <w:textAlignment w:val="auto"/>
      </w:pPr>
    </w:p>
    <w:p w:rsidR="00E85895" w:rsidRDefault="00E85895" w:rsidP="00E85895">
      <w:pPr>
        <w:overflowPunct/>
        <w:autoSpaceDE/>
        <w:autoSpaceDN/>
        <w:adjustRightInd/>
        <w:spacing w:after="0"/>
        <w:textAlignment w:val="auto"/>
      </w:pPr>
      <w:r>
        <w:t>For non-AAS BSs, countries may decide between two different levels of protection (case A or case B) depending on the level of protection required for the radar in their territory or no limit (case C).</w:t>
      </w:r>
    </w:p>
    <w:p w:rsidR="00E85895" w:rsidRDefault="00E85895" w:rsidP="00E85895">
      <w:pPr>
        <w:overflowPunct/>
        <w:autoSpaceDE/>
        <w:autoSpaceDN/>
        <w:adjustRightInd/>
        <w:spacing w:after="0"/>
        <w:textAlignment w:val="auto"/>
      </w:pPr>
    </w:p>
    <w:p w:rsidR="00E85895" w:rsidRDefault="00E85895" w:rsidP="00E85895">
      <w:pPr>
        <w:overflowPunct/>
        <w:autoSpaceDE/>
        <w:autoSpaceDN/>
        <w:adjustRightInd/>
        <w:spacing w:after="0"/>
        <w:textAlignment w:val="auto"/>
      </w:pPr>
      <w:r>
        <w:t xml:space="preserve">This requirement is applicable to E-UTRA, NR and MSR BSs. </w:t>
      </w:r>
    </w:p>
    <w:p w:rsidR="00E85895" w:rsidRDefault="00E85895" w:rsidP="00E85895">
      <w:pPr>
        <w:overflowPunct/>
        <w:autoSpaceDE/>
        <w:autoSpaceDN/>
        <w:adjustRightInd/>
        <w:spacing w:after="0"/>
        <w:textAlignment w:val="auto"/>
      </w:pPr>
    </w:p>
    <w:p w:rsidR="00E85895" w:rsidRDefault="00E85895" w:rsidP="00E85895">
      <w:pPr>
        <w:overflowPunct/>
        <w:autoSpaceDE/>
        <w:autoSpaceDN/>
        <w:adjustRightInd/>
        <w:spacing w:after="0"/>
        <w:textAlignment w:val="auto"/>
      </w:pPr>
      <w:r>
        <w:t>This requirement is applicable to AAS and non-AAS BSs.</w:t>
      </w:r>
    </w:p>
    <w:p w:rsidR="00E85895" w:rsidRDefault="00E85895" w:rsidP="00E85895">
      <w:pPr>
        <w:overflowPunct/>
        <w:autoSpaceDE/>
        <w:autoSpaceDN/>
        <w:adjustRightInd/>
        <w:spacing w:after="0"/>
        <w:textAlignment w:val="auto"/>
      </w:pPr>
    </w:p>
    <w:p w:rsidR="00E85895" w:rsidRDefault="00E85895" w:rsidP="00E85895">
      <w:pPr>
        <w:overflowPunct/>
        <w:autoSpaceDE/>
        <w:autoSpaceDN/>
        <w:adjustRightInd/>
        <w:spacing w:after="0"/>
        <w:textAlignment w:val="auto"/>
      </w:pPr>
      <w:r>
        <w:t>This requirement is applicable to BSs operating in the bands in table 4.2.1.</w:t>
      </w:r>
    </w:p>
    <w:p w:rsidR="00E85895" w:rsidRDefault="00E85895" w:rsidP="00B96C98">
      <w:pPr>
        <w:overflowPunct/>
        <w:autoSpaceDE/>
        <w:autoSpaceDN/>
        <w:adjustRightInd/>
        <w:spacing w:after="0"/>
        <w:textAlignment w:val="auto"/>
      </w:pPr>
    </w:p>
    <w:p w:rsidR="004B4D19" w:rsidRDefault="004B4D19" w:rsidP="00B96C98">
      <w:pPr>
        <w:overflowPunct/>
        <w:autoSpaceDE/>
        <w:autoSpaceDN/>
        <w:adjustRightInd/>
        <w:spacing w:after="0"/>
        <w:textAlignment w:val="auto"/>
      </w:pPr>
    </w:p>
    <w:p w:rsidR="004B4D19" w:rsidRPr="00335293" w:rsidRDefault="004B4D19" w:rsidP="004B4D19">
      <w:pPr>
        <w:pStyle w:val="TH"/>
      </w:pPr>
      <w:r w:rsidRPr="00335293">
        <w:t xml:space="preserve">Table </w:t>
      </w:r>
      <w:r>
        <w:t>4.2.1</w:t>
      </w:r>
      <w:r w:rsidRPr="00335293">
        <w:t>: Base station operating band</w:t>
      </w:r>
      <w:r w:rsidR="00D92C70">
        <w:t>s</w:t>
      </w:r>
    </w:p>
    <w:tbl>
      <w:tblPr>
        <w:tblW w:w="7742" w:type="dxa"/>
        <w:jc w:val="center"/>
        <w:tblLook w:val="0000" w:firstRow="0" w:lastRow="0" w:firstColumn="0" w:lastColumn="0" w:noHBand="0" w:noVBand="0"/>
      </w:tblPr>
      <w:tblGrid>
        <w:gridCol w:w="1822"/>
        <w:gridCol w:w="1562"/>
        <w:gridCol w:w="1876"/>
        <w:gridCol w:w="515"/>
        <w:gridCol w:w="1967"/>
      </w:tblGrid>
      <w:tr w:rsidR="004B4D19" w:rsidRPr="009C4728" w:rsidTr="00B96C98">
        <w:trPr>
          <w:jc w:val="center"/>
        </w:trPr>
        <w:tc>
          <w:tcPr>
            <w:tcW w:w="1822" w:type="dxa"/>
            <w:tcBorders>
              <w:top w:val="single" w:sz="4" w:space="0" w:color="auto"/>
              <w:left w:val="single" w:sz="4" w:space="0" w:color="auto"/>
              <w:bottom w:val="single" w:sz="4" w:space="0" w:color="auto"/>
              <w:right w:val="single" w:sz="4" w:space="0" w:color="auto"/>
            </w:tcBorders>
          </w:tcPr>
          <w:p w:rsidR="004B4D19" w:rsidRPr="009C4728" w:rsidRDefault="004B4D19" w:rsidP="00DE5D42">
            <w:pPr>
              <w:pStyle w:val="TAH"/>
              <w:rPr>
                <w:rFonts w:cs="Arial"/>
              </w:rPr>
            </w:pPr>
            <w:r w:rsidRPr="009C4728">
              <w:rPr>
                <w:rFonts w:cs="Arial"/>
              </w:rPr>
              <w:t>MSR and E</w:t>
            </w:r>
            <w:r w:rsidRPr="009C4728">
              <w:rPr>
                <w:rFonts w:cs="Arial"/>
              </w:rPr>
              <w:noBreakHyphen/>
              <w:t>UTRA Band number</w:t>
            </w:r>
          </w:p>
        </w:tc>
        <w:tc>
          <w:tcPr>
            <w:tcW w:w="1562" w:type="dxa"/>
            <w:tcBorders>
              <w:top w:val="single" w:sz="4" w:space="0" w:color="auto"/>
              <w:left w:val="single" w:sz="4" w:space="0" w:color="auto"/>
              <w:bottom w:val="single" w:sz="4" w:space="0" w:color="auto"/>
              <w:right w:val="single" w:sz="4" w:space="0" w:color="auto"/>
            </w:tcBorders>
          </w:tcPr>
          <w:p w:rsidR="004B4D19" w:rsidRPr="009C4728" w:rsidRDefault="004B4D19" w:rsidP="00DE5D42">
            <w:pPr>
              <w:pStyle w:val="TAH"/>
              <w:rPr>
                <w:rFonts w:cs="Arial"/>
              </w:rPr>
            </w:pPr>
            <w:r w:rsidRPr="009C4728">
              <w:rPr>
                <w:rFonts w:cs="Arial"/>
              </w:rPr>
              <w:t>NR Band number</w:t>
            </w:r>
          </w:p>
        </w:tc>
        <w:tc>
          <w:tcPr>
            <w:tcW w:w="4358" w:type="dxa"/>
            <w:gridSpan w:val="3"/>
            <w:tcBorders>
              <w:top w:val="single" w:sz="4" w:space="0" w:color="auto"/>
              <w:left w:val="single" w:sz="4" w:space="0" w:color="auto"/>
              <w:bottom w:val="single" w:sz="4" w:space="0" w:color="auto"/>
              <w:right w:val="single" w:sz="4" w:space="0" w:color="auto"/>
            </w:tcBorders>
          </w:tcPr>
          <w:p w:rsidR="004B4D19" w:rsidRPr="009C4728" w:rsidRDefault="004B4D19" w:rsidP="004B4D19">
            <w:pPr>
              <w:pStyle w:val="TAH"/>
              <w:rPr>
                <w:rFonts w:cs="Arial"/>
              </w:rPr>
            </w:pPr>
            <w:r w:rsidRPr="009C4728">
              <w:rPr>
                <w:rFonts w:cs="Arial"/>
              </w:rPr>
              <w:t xml:space="preserve">BS </w:t>
            </w:r>
            <w:r>
              <w:rPr>
                <w:rFonts w:cs="Arial"/>
              </w:rPr>
              <w:t xml:space="preserve">transmit &amp; </w:t>
            </w:r>
            <w:r w:rsidRPr="009C4728">
              <w:rPr>
                <w:rFonts w:cs="Arial"/>
              </w:rPr>
              <w:t>receive</w:t>
            </w:r>
          </w:p>
        </w:tc>
      </w:tr>
      <w:tr w:rsidR="004B4D19" w:rsidRPr="009C4728" w:rsidTr="00B96C98">
        <w:trPr>
          <w:jc w:val="center"/>
        </w:trPr>
        <w:tc>
          <w:tcPr>
            <w:tcW w:w="1822" w:type="dxa"/>
            <w:tcBorders>
              <w:top w:val="single" w:sz="4" w:space="0" w:color="auto"/>
              <w:left w:val="single" w:sz="4" w:space="0" w:color="auto"/>
              <w:bottom w:val="single" w:sz="4" w:space="0" w:color="auto"/>
              <w:right w:val="single" w:sz="4" w:space="0" w:color="auto"/>
            </w:tcBorders>
          </w:tcPr>
          <w:p w:rsidR="004B4D19" w:rsidRPr="009C4728" w:rsidRDefault="004B4D19" w:rsidP="00DE5D42">
            <w:pPr>
              <w:pStyle w:val="TAC"/>
              <w:rPr>
                <w:rFonts w:cs="Arial"/>
              </w:rPr>
            </w:pPr>
            <w:r w:rsidRPr="009C4728">
              <w:rPr>
                <w:rFonts w:cs="Arial"/>
              </w:rPr>
              <w:t>42</w:t>
            </w:r>
          </w:p>
        </w:tc>
        <w:tc>
          <w:tcPr>
            <w:tcW w:w="1562" w:type="dxa"/>
            <w:tcBorders>
              <w:top w:val="single" w:sz="4" w:space="0" w:color="auto"/>
              <w:left w:val="single" w:sz="4" w:space="0" w:color="auto"/>
              <w:bottom w:val="single" w:sz="4" w:space="0" w:color="auto"/>
              <w:right w:val="single" w:sz="4" w:space="0" w:color="auto"/>
            </w:tcBorders>
          </w:tcPr>
          <w:p w:rsidR="004B4D19" w:rsidRPr="009C4728" w:rsidRDefault="004B4D19" w:rsidP="00DE5D42">
            <w:pPr>
              <w:pStyle w:val="TAC"/>
              <w:rPr>
                <w:rFonts w:cs="Arial"/>
              </w:rPr>
            </w:pPr>
          </w:p>
        </w:tc>
        <w:tc>
          <w:tcPr>
            <w:tcW w:w="1876" w:type="dxa"/>
            <w:tcBorders>
              <w:top w:val="single" w:sz="4" w:space="0" w:color="auto"/>
              <w:left w:val="single" w:sz="4" w:space="0" w:color="auto"/>
              <w:bottom w:val="single" w:sz="4" w:space="0" w:color="auto"/>
            </w:tcBorders>
          </w:tcPr>
          <w:p w:rsidR="004B4D19" w:rsidRPr="009C4728" w:rsidRDefault="004B4D19" w:rsidP="00B96C98">
            <w:pPr>
              <w:pStyle w:val="TAR"/>
              <w:jc w:val="center"/>
              <w:rPr>
                <w:rFonts w:cs="Arial"/>
              </w:rPr>
            </w:pPr>
            <w:r w:rsidRPr="009C4728">
              <w:rPr>
                <w:rFonts w:cs="Arial"/>
              </w:rPr>
              <w:t>3400 MHz</w:t>
            </w:r>
          </w:p>
        </w:tc>
        <w:tc>
          <w:tcPr>
            <w:tcW w:w="515" w:type="dxa"/>
            <w:tcBorders>
              <w:top w:val="single" w:sz="4" w:space="0" w:color="auto"/>
              <w:bottom w:val="single" w:sz="4" w:space="0" w:color="auto"/>
            </w:tcBorders>
          </w:tcPr>
          <w:p w:rsidR="004B4D19" w:rsidRPr="009C4728" w:rsidRDefault="004B4D19" w:rsidP="004B4D19">
            <w:pPr>
              <w:pStyle w:val="TAC"/>
              <w:rPr>
                <w:rFonts w:cs="Arial"/>
              </w:rPr>
            </w:pPr>
            <w:r w:rsidRPr="009C4728">
              <w:rPr>
                <w:rFonts w:cs="Arial"/>
              </w:rPr>
              <w:t>–</w:t>
            </w:r>
          </w:p>
        </w:tc>
        <w:tc>
          <w:tcPr>
            <w:tcW w:w="1967" w:type="dxa"/>
            <w:tcBorders>
              <w:top w:val="single" w:sz="4" w:space="0" w:color="auto"/>
              <w:bottom w:val="single" w:sz="4" w:space="0" w:color="auto"/>
              <w:right w:val="single" w:sz="4" w:space="0" w:color="auto"/>
            </w:tcBorders>
          </w:tcPr>
          <w:p w:rsidR="004B4D19" w:rsidRPr="009C4728" w:rsidRDefault="004B4D19" w:rsidP="00B96C98">
            <w:pPr>
              <w:pStyle w:val="TAL"/>
              <w:jc w:val="center"/>
              <w:rPr>
                <w:rFonts w:cs="Arial"/>
              </w:rPr>
            </w:pPr>
            <w:r w:rsidRPr="009C4728">
              <w:rPr>
                <w:rFonts w:cs="Arial"/>
              </w:rPr>
              <w:t>3600 MHz</w:t>
            </w:r>
          </w:p>
        </w:tc>
      </w:tr>
      <w:tr w:rsidR="004B4D19" w:rsidRPr="009C4728" w:rsidTr="00B96C98">
        <w:trPr>
          <w:jc w:val="center"/>
        </w:trPr>
        <w:tc>
          <w:tcPr>
            <w:tcW w:w="1822" w:type="dxa"/>
            <w:tcBorders>
              <w:top w:val="single" w:sz="4" w:space="0" w:color="auto"/>
              <w:left w:val="single" w:sz="4" w:space="0" w:color="auto"/>
              <w:bottom w:val="single" w:sz="4" w:space="0" w:color="auto"/>
              <w:right w:val="single" w:sz="4" w:space="0" w:color="auto"/>
            </w:tcBorders>
          </w:tcPr>
          <w:p w:rsidR="004B4D19" w:rsidRPr="009C4728" w:rsidRDefault="004B4D19" w:rsidP="00DE5D42">
            <w:pPr>
              <w:pStyle w:val="TAC"/>
              <w:rPr>
                <w:rFonts w:cs="Arial"/>
              </w:rPr>
            </w:pPr>
            <w:r w:rsidRPr="009C4728">
              <w:rPr>
                <w:rFonts w:cs="Arial"/>
              </w:rPr>
              <w:t>43</w:t>
            </w:r>
          </w:p>
        </w:tc>
        <w:tc>
          <w:tcPr>
            <w:tcW w:w="1562" w:type="dxa"/>
            <w:tcBorders>
              <w:top w:val="single" w:sz="4" w:space="0" w:color="auto"/>
              <w:left w:val="single" w:sz="4" w:space="0" w:color="auto"/>
              <w:bottom w:val="single" w:sz="4" w:space="0" w:color="auto"/>
              <w:right w:val="single" w:sz="4" w:space="0" w:color="auto"/>
            </w:tcBorders>
          </w:tcPr>
          <w:p w:rsidR="004B4D19" w:rsidRPr="009C4728" w:rsidRDefault="004B4D19" w:rsidP="00DE5D42">
            <w:pPr>
              <w:pStyle w:val="TAC"/>
              <w:rPr>
                <w:rFonts w:cs="Arial"/>
              </w:rPr>
            </w:pPr>
          </w:p>
        </w:tc>
        <w:tc>
          <w:tcPr>
            <w:tcW w:w="1876" w:type="dxa"/>
            <w:tcBorders>
              <w:top w:val="single" w:sz="4" w:space="0" w:color="auto"/>
              <w:left w:val="single" w:sz="4" w:space="0" w:color="auto"/>
              <w:bottom w:val="single" w:sz="4" w:space="0" w:color="auto"/>
            </w:tcBorders>
          </w:tcPr>
          <w:p w:rsidR="004B4D19" w:rsidRPr="009C4728" w:rsidRDefault="004B4D19" w:rsidP="00B96C98">
            <w:pPr>
              <w:pStyle w:val="TAR"/>
              <w:jc w:val="center"/>
              <w:rPr>
                <w:rFonts w:cs="Arial"/>
              </w:rPr>
            </w:pPr>
            <w:r w:rsidRPr="009C4728">
              <w:rPr>
                <w:rFonts w:cs="Arial"/>
              </w:rPr>
              <w:t>3600 MHz</w:t>
            </w:r>
          </w:p>
        </w:tc>
        <w:tc>
          <w:tcPr>
            <w:tcW w:w="515" w:type="dxa"/>
            <w:tcBorders>
              <w:top w:val="single" w:sz="4" w:space="0" w:color="auto"/>
              <w:bottom w:val="single" w:sz="4" w:space="0" w:color="auto"/>
            </w:tcBorders>
          </w:tcPr>
          <w:p w:rsidR="004B4D19" w:rsidRPr="009C4728" w:rsidRDefault="004B4D19" w:rsidP="004B4D19">
            <w:pPr>
              <w:pStyle w:val="TAC"/>
              <w:rPr>
                <w:rFonts w:cs="Arial"/>
              </w:rPr>
            </w:pPr>
            <w:r w:rsidRPr="009C4728">
              <w:rPr>
                <w:rFonts w:cs="Arial"/>
              </w:rPr>
              <w:t>–</w:t>
            </w:r>
          </w:p>
        </w:tc>
        <w:tc>
          <w:tcPr>
            <w:tcW w:w="1967" w:type="dxa"/>
            <w:tcBorders>
              <w:top w:val="single" w:sz="4" w:space="0" w:color="auto"/>
              <w:bottom w:val="single" w:sz="4" w:space="0" w:color="auto"/>
              <w:right w:val="single" w:sz="4" w:space="0" w:color="auto"/>
            </w:tcBorders>
          </w:tcPr>
          <w:p w:rsidR="004B4D19" w:rsidRPr="009C4728" w:rsidRDefault="004B4D19" w:rsidP="00B96C98">
            <w:pPr>
              <w:pStyle w:val="TAL"/>
              <w:jc w:val="center"/>
              <w:rPr>
                <w:rFonts w:cs="Arial"/>
              </w:rPr>
            </w:pPr>
            <w:r w:rsidRPr="009C4728">
              <w:rPr>
                <w:rFonts w:cs="Arial"/>
              </w:rPr>
              <w:t>3800 MHz</w:t>
            </w:r>
          </w:p>
        </w:tc>
      </w:tr>
      <w:tr w:rsidR="00E85895" w:rsidRPr="009C4728" w:rsidTr="00B96C98">
        <w:trPr>
          <w:jc w:val="center"/>
        </w:trPr>
        <w:tc>
          <w:tcPr>
            <w:tcW w:w="1822" w:type="dxa"/>
            <w:tcBorders>
              <w:top w:val="single" w:sz="4" w:space="0" w:color="auto"/>
              <w:left w:val="single" w:sz="4" w:space="0" w:color="auto"/>
              <w:bottom w:val="single" w:sz="4" w:space="0" w:color="auto"/>
              <w:right w:val="single" w:sz="4" w:space="0" w:color="auto"/>
            </w:tcBorders>
          </w:tcPr>
          <w:p w:rsidR="00E85895" w:rsidRPr="009C4728" w:rsidRDefault="00E85895" w:rsidP="00E85895">
            <w:pPr>
              <w:pStyle w:val="TAC"/>
            </w:pPr>
            <w:r w:rsidRPr="009C4728">
              <w:t>77</w:t>
            </w:r>
            <w:r>
              <w:t xml:space="preserve"> </w:t>
            </w:r>
            <w:r w:rsidRPr="001D6E1D">
              <w:t xml:space="preserve">(notes </w:t>
            </w:r>
            <w:r>
              <w:t>1</w:t>
            </w:r>
            <w:r w:rsidRPr="001D6E1D">
              <w:t xml:space="preserve"> and </w:t>
            </w:r>
            <w:r>
              <w:t>3</w:t>
            </w:r>
            <w:r w:rsidRPr="001D6E1D">
              <w:t>)</w:t>
            </w:r>
          </w:p>
        </w:tc>
        <w:tc>
          <w:tcPr>
            <w:tcW w:w="1562" w:type="dxa"/>
            <w:tcBorders>
              <w:top w:val="single" w:sz="4" w:space="0" w:color="auto"/>
              <w:left w:val="single" w:sz="4" w:space="0" w:color="auto"/>
              <w:bottom w:val="single" w:sz="4" w:space="0" w:color="auto"/>
              <w:right w:val="single" w:sz="4" w:space="0" w:color="auto"/>
            </w:tcBorders>
          </w:tcPr>
          <w:p w:rsidR="00E85895" w:rsidRPr="009C4728" w:rsidRDefault="00E85895" w:rsidP="00E85895">
            <w:pPr>
              <w:pStyle w:val="TAC"/>
            </w:pPr>
            <w:r w:rsidRPr="009C4728">
              <w:rPr>
                <w:lang w:eastAsia="ja-JP"/>
              </w:rPr>
              <w:t>n77</w:t>
            </w:r>
          </w:p>
        </w:tc>
        <w:tc>
          <w:tcPr>
            <w:tcW w:w="1876" w:type="dxa"/>
            <w:tcBorders>
              <w:top w:val="single" w:sz="4" w:space="0" w:color="auto"/>
              <w:left w:val="single" w:sz="4" w:space="0" w:color="auto"/>
              <w:bottom w:val="single" w:sz="4" w:space="0" w:color="auto"/>
            </w:tcBorders>
          </w:tcPr>
          <w:p w:rsidR="00E85895" w:rsidRPr="009C4728" w:rsidRDefault="00E85895" w:rsidP="00E85895">
            <w:pPr>
              <w:pStyle w:val="TAC"/>
            </w:pPr>
            <w:r w:rsidRPr="009C4728">
              <w:rPr>
                <w:lang w:eastAsia="zh-CN"/>
              </w:rPr>
              <w:t>3300 MHz</w:t>
            </w:r>
          </w:p>
        </w:tc>
        <w:tc>
          <w:tcPr>
            <w:tcW w:w="515" w:type="dxa"/>
            <w:tcBorders>
              <w:top w:val="single" w:sz="4" w:space="0" w:color="auto"/>
              <w:bottom w:val="single" w:sz="4" w:space="0" w:color="auto"/>
            </w:tcBorders>
          </w:tcPr>
          <w:p w:rsidR="00E85895" w:rsidRPr="009C4728" w:rsidRDefault="00E85895" w:rsidP="00E85895">
            <w:pPr>
              <w:pStyle w:val="TAC"/>
            </w:pPr>
            <w:r w:rsidRPr="009C4728">
              <w:rPr>
                <w:lang w:eastAsia="ja-JP"/>
              </w:rPr>
              <w:t>-</w:t>
            </w:r>
          </w:p>
        </w:tc>
        <w:tc>
          <w:tcPr>
            <w:tcW w:w="1967" w:type="dxa"/>
            <w:tcBorders>
              <w:top w:val="single" w:sz="4" w:space="0" w:color="auto"/>
              <w:bottom w:val="single" w:sz="4" w:space="0" w:color="auto"/>
              <w:right w:val="single" w:sz="4" w:space="0" w:color="auto"/>
            </w:tcBorders>
          </w:tcPr>
          <w:p w:rsidR="00E85895" w:rsidRPr="009C4728" w:rsidRDefault="00E85895" w:rsidP="00E85895">
            <w:pPr>
              <w:pStyle w:val="TAC"/>
            </w:pPr>
            <w:r w:rsidRPr="009C4728">
              <w:rPr>
                <w:lang w:eastAsia="zh-CN"/>
              </w:rPr>
              <w:t>4200 MHz</w:t>
            </w:r>
          </w:p>
        </w:tc>
      </w:tr>
      <w:tr w:rsidR="00E85895" w:rsidRPr="009C4728" w:rsidTr="00B96C98">
        <w:trPr>
          <w:jc w:val="center"/>
        </w:trPr>
        <w:tc>
          <w:tcPr>
            <w:tcW w:w="1822" w:type="dxa"/>
            <w:tcBorders>
              <w:top w:val="single" w:sz="4" w:space="0" w:color="auto"/>
              <w:left w:val="single" w:sz="4" w:space="0" w:color="auto"/>
              <w:bottom w:val="single" w:sz="4" w:space="0" w:color="auto"/>
              <w:right w:val="single" w:sz="4" w:space="0" w:color="auto"/>
            </w:tcBorders>
          </w:tcPr>
          <w:p w:rsidR="00E85895" w:rsidRPr="009C4728" w:rsidRDefault="00E85895" w:rsidP="00E85895">
            <w:pPr>
              <w:pStyle w:val="TAC"/>
            </w:pPr>
            <w:r w:rsidRPr="009C4728">
              <w:t>78</w:t>
            </w:r>
            <w:r>
              <w:t xml:space="preserve"> (notes 2 and 3</w:t>
            </w:r>
            <w:r w:rsidRPr="001D6E1D">
              <w:t>)</w:t>
            </w:r>
          </w:p>
        </w:tc>
        <w:tc>
          <w:tcPr>
            <w:tcW w:w="1562" w:type="dxa"/>
            <w:tcBorders>
              <w:top w:val="single" w:sz="4" w:space="0" w:color="auto"/>
              <w:left w:val="single" w:sz="4" w:space="0" w:color="auto"/>
              <w:bottom w:val="single" w:sz="4" w:space="0" w:color="auto"/>
              <w:right w:val="single" w:sz="4" w:space="0" w:color="auto"/>
            </w:tcBorders>
          </w:tcPr>
          <w:p w:rsidR="00E85895" w:rsidRPr="009C4728" w:rsidRDefault="00E85895" w:rsidP="00E85895">
            <w:pPr>
              <w:pStyle w:val="TAC"/>
            </w:pPr>
            <w:r w:rsidRPr="009C4728">
              <w:rPr>
                <w:lang w:eastAsia="ja-JP"/>
              </w:rPr>
              <w:t>n78</w:t>
            </w:r>
          </w:p>
        </w:tc>
        <w:tc>
          <w:tcPr>
            <w:tcW w:w="1876" w:type="dxa"/>
            <w:tcBorders>
              <w:top w:val="single" w:sz="4" w:space="0" w:color="auto"/>
              <w:left w:val="single" w:sz="4" w:space="0" w:color="auto"/>
              <w:bottom w:val="single" w:sz="4" w:space="0" w:color="auto"/>
            </w:tcBorders>
          </w:tcPr>
          <w:p w:rsidR="00E85895" w:rsidRPr="009C4728" w:rsidRDefault="00E85895" w:rsidP="00E85895">
            <w:pPr>
              <w:pStyle w:val="TAC"/>
            </w:pPr>
            <w:r w:rsidRPr="009C4728">
              <w:rPr>
                <w:lang w:eastAsia="zh-CN"/>
              </w:rPr>
              <w:t>3300 MHz</w:t>
            </w:r>
          </w:p>
        </w:tc>
        <w:tc>
          <w:tcPr>
            <w:tcW w:w="515" w:type="dxa"/>
            <w:tcBorders>
              <w:top w:val="single" w:sz="4" w:space="0" w:color="auto"/>
              <w:bottom w:val="single" w:sz="4" w:space="0" w:color="auto"/>
            </w:tcBorders>
          </w:tcPr>
          <w:p w:rsidR="00E85895" w:rsidRPr="009C4728" w:rsidRDefault="00E85895" w:rsidP="00E85895">
            <w:pPr>
              <w:pStyle w:val="TAC"/>
            </w:pPr>
            <w:r w:rsidRPr="009C4728">
              <w:rPr>
                <w:lang w:eastAsia="ja-JP"/>
              </w:rPr>
              <w:t>-</w:t>
            </w:r>
          </w:p>
        </w:tc>
        <w:tc>
          <w:tcPr>
            <w:tcW w:w="1967" w:type="dxa"/>
            <w:tcBorders>
              <w:top w:val="single" w:sz="4" w:space="0" w:color="auto"/>
              <w:bottom w:val="single" w:sz="4" w:space="0" w:color="auto"/>
              <w:right w:val="single" w:sz="4" w:space="0" w:color="auto"/>
            </w:tcBorders>
          </w:tcPr>
          <w:p w:rsidR="00E85895" w:rsidRPr="009C4728" w:rsidRDefault="00E85895" w:rsidP="00E85895">
            <w:pPr>
              <w:pStyle w:val="TAC"/>
            </w:pPr>
            <w:r w:rsidRPr="009C4728">
              <w:rPr>
                <w:lang w:eastAsia="zh-CN"/>
              </w:rPr>
              <w:t>3800 MHz</w:t>
            </w:r>
          </w:p>
        </w:tc>
      </w:tr>
      <w:tr w:rsidR="00E85895" w:rsidRPr="009C4728" w:rsidTr="000F3F40">
        <w:trPr>
          <w:jc w:val="center"/>
        </w:trPr>
        <w:tc>
          <w:tcPr>
            <w:tcW w:w="7742" w:type="dxa"/>
            <w:gridSpan w:val="5"/>
            <w:tcBorders>
              <w:top w:val="single" w:sz="4" w:space="0" w:color="auto"/>
              <w:left w:val="single" w:sz="4" w:space="0" w:color="auto"/>
              <w:bottom w:val="single" w:sz="4" w:space="0" w:color="auto"/>
              <w:right w:val="single" w:sz="4" w:space="0" w:color="auto"/>
            </w:tcBorders>
          </w:tcPr>
          <w:p w:rsidR="00E85895" w:rsidRDefault="00E85895" w:rsidP="00E85895">
            <w:pPr>
              <w:pStyle w:val="TAN"/>
              <w:keepNext w:val="0"/>
              <w:keepLines w:val="0"/>
              <w:widowControl w:val="0"/>
            </w:pPr>
            <w:r w:rsidRPr="001D6E1D">
              <w:t xml:space="preserve">NOTE </w:t>
            </w:r>
            <w:r>
              <w:t>1</w:t>
            </w:r>
            <w:r w:rsidRPr="001D6E1D">
              <w:t>:</w:t>
            </w:r>
            <w:r w:rsidRPr="001D6E1D">
              <w:tab/>
            </w:r>
            <w:r>
              <w:t>In Europe according to [i.3], r</w:t>
            </w:r>
            <w:r w:rsidRPr="00FF64F4">
              <w:t>adio</w:t>
            </w:r>
            <w:r>
              <w:t xml:space="preserve"> </w:t>
            </w:r>
            <w:r w:rsidRPr="001D6E1D">
              <w:t xml:space="preserve">equipment in band 77 </w:t>
            </w:r>
            <w:r w:rsidRPr="00FF64F4">
              <w:t>operate</w:t>
            </w:r>
            <w:r>
              <w:t xml:space="preserve">s </w:t>
            </w:r>
            <w:r w:rsidRPr="001D6E1D">
              <w:t>between 3 400 MHz and 4 200 MHz</w:t>
            </w:r>
            <w:r>
              <w:t xml:space="preserve"> (</w:t>
            </w:r>
            <w:r w:rsidRPr="007C52FF">
              <w:rPr>
                <w:lang w:val="en-US"/>
              </w:rPr>
              <w:t>F</w:t>
            </w:r>
            <w:r w:rsidRPr="007C52FF">
              <w:rPr>
                <w:vertAlign w:val="subscript"/>
                <w:lang w:val="en-US"/>
              </w:rPr>
              <w:t>DL_low</w:t>
            </w:r>
            <w:r w:rsidRPr="007C52FF">
              <w:rPr>
                <w:lang w:val="en-US"/>
              </w:rPr>
              <w:t xml:space="preserve"> = </w:t>
            </w:r>
            <w:r>
              <w:rPr>
                <w:lang w:val="en-US"/>
              </w:rPr>
              <w:t>3 400</w:t>
            </w:r>
            <w:r w:rsidRPr="007C52FF">
              <w:rPr>
                <w:lang w:val="en-US"/>
              </w:rPr>
              <w:t xml:space="preserve"> MHz and F</w:t>
            </w:r>
            <w:r w:rsidRPr="007C52FF">
              <w:rPr>
                <w:vertAlign w:val="subscript"/>
                <w:lang w:val="en-US"/>
              </w:rPr>
              <w:t>DL_high</w:t>
            </w:r>
            <w:r w:rsidRPr="007C52FF">
              <w:rPr>
                <w:lang w:val="en-US"/>
              </w:rPr>
              <w:t xml:space="preserve"> =</w:t>
            </w:r>
            <w:r>
              <w:rPr>
                <w:lang w:val="en-US"/>
              </w:rPr>
              <w:t>4 200</w:t>
            </w:r>
            <w:r w:rsidRPr="007C52FF">
              <w:rPr>
                <w:lang w:val="en-US"/>
              </w:rPr>
              <w:t xml:space="preserve"> MHz</w:t>
            </w:r>
            <w:r>
              <w:rPr>
                <w:lang w:val="en-US"/>
              </w:rPr>
              <w:t>)</w:t>
            </w:r>
            <w:r w:rsidRPr="001D6E1D">
              <w:t>.</w:t>
            </w:r>
          </w:p>
          <w:p w:rsidR="00E85895" w:rsidRDefault="00E85895" w:rsidP="00E85895">
            <w:pPr>
              <w:pStyle w:val="TAN"/>
              <w:keepNext w:val="0"/>
              <w:keepLines w:val="0"/>
              <w:widowControl w:val="0"/>
            </w:pPr>
            <w:r w:rsidRPr="001D6E1D">
              <w:t xml:space="preserve">NOTE </w:t>
            </w:r>
            <w:r>
              <w:t>2</w:t>
            </w:r>
            <w:r w:rsidRPr="001D6E1D">
              <w:t>:</w:t>
            </w:r>
            <w:r w:rsidRPr="001D6E1D">
              <w:tab/>
            </w:r>
            <w:r>
              <w:t>In Europe according to [i.3], r</w:t>
            </w:r>
            <w:r w:rsidRPr="00FF64F4">
              <w:t>adio</w:t>
            </w:r>
            <w:r>
              <w:t xml:space="preserve"> </w:t>
            </w:r>
            <w:r w:rsidRPr="001D6E1D">
              <w:t xml:space="preserve">equipment in band 78 </w:t>
            </w:r>
            <w:r w:rsidRPr="00FF64F4">
              <w:t>operate</w:t>
            </w:r>
            <w:r>
              <w:t xml:space="preserve">s </w:t>
            </w:r>
            <w:r w:rsidRPr="001D6E1D">
              <w:t>between 3 400 MHz and 3 800 MHz</w:t>
            </w:r>
            <w:r>
              <w:t xml:space="preserve"> (</w:t>
            </w:r>
            <w:r w:rsidRPr="007C52FF">
              <w:rPr>
                <w:lang w:val="en-US"/>
              </w:rPr>
              <w:t>F</w:t>
            </w:r>
            <w:r w:rsidRPr="007C52FF">
              <w:rPr>
                <w:vertAlign w:val="subscript"/>
                <w:lang w:val="en-US"/>
              </w:rPr>
              <w:t>DL_low</w:t>
            </w:r>
            <w:r w:rsidRPr="007C52FF">
              <w:rPr>
                <w:lang w:val="en-US"/>
              </w:rPr>
              <w:t xml:space="preserve"> = </w:t>
            </w:r>
            <w:r>
              <w:rPr>
                <w:lang w:val="en-US"/>
              </w:rPr>
              <w:t>3 400</w:t>
            </w:r>
            <w:r w:rsidRPr="007C52FF">
              <w:rPr>
                <w:lang w:val="en-US"/>
              </w:rPr>
              <w:t xml:space="preserve"> MHz and F</w:t>
            </w:r>
            <w:r w:rsidRPr="007C52FF">
              <w:rPr>
                <w:vertAlign w:val="subscript"/>
                <w:lang w:val="en-US"/>
              </w:rPr>
              <w:t>DL_high</w:t>
            </w:r>
            <w:r w:rsidRPr="007C52FF">
              <w:rPr>
                <w:lang w:val="en-US"/>
              </w:rPr>
              <w:t xml:space="preserve"> = </w:t>
            </w:r>
            <w:r>
              <w:rPr>
                <w:lang w:val="en-US"/>
              </w:rPr>
              <w:t>3 800</w:t>
            </w:r>
            <w:r w:rsidRPr="007C52FF">
              <w:rPr>
                <w:lang w:val="en-US"/>
              </w:rPr>
              <w:t xml:space="preserve"> MHz</w:t>
            </w:r>
            <w:r>
              <w:rPr>
                <w:lang w:val="en-US"/>
              </w:rPr>
              <w:t>)</w:t>
            </w:r>
            <w:r w:rsidRPr="001D6E1D">
              <w:t>.</w:t>
            </w:r>
          </w:p>
          <w:p w:rsidR="00E85895" w:rsidRPr="009C4728" w:rsidRDefault="00E85895" w:rsidP="00E85895">
            <w:pPr>
              <w:pStyle w:val="TAC"/>
              <w:jc w:val="left"/>
              <w:rPr>
                <w:lang w:eastAsia="zh-CN"/>
              </w:rPr>
            </w:pPr>
            <w:r>
              <w:rPr>
                <w:lang w:eastAsia="ja-JP"/>
              </w:rPr>
              <w:t>NOTE 3</w:t>
            </w:r>
            <w:r w:rsidRPr="001D6E1D">
              <w:rPr>
                <w:lang w:eastAsia="ja-JP"/>
              </w:rPr>
              <w:t>:</w:t>
            </w:r>
            <w:r w:rsidRPr="001D6E1D">
              <w:rPr>
                <w:lang w:eastAsia="ja-JP"/>
              </w:rPr>
              <w:tab/>
              <w:t xml:space="preserve">The band is for </w:t>
            </w:r>
            <w:r w:rsidRPr="00454EDF">
              <w:rPr>
                <w:lang w:eastAsia="ja-JP"/>
              </w:rPr>
              <w:t>NR</w:t>
            </w:r>
            <w:r w:rsidRPr="001D6E1D">
              <w:rPr>
                <w:lang w:eastAsia="ja-JP"/>
              </w:rPr>
              <w:t xml:space="preserve"> only.</w:t>
            </w:r>
          </w:p>
        </w:tc>
      </w:tr>
    </w:tbl>
    <w:p w:rsidR="004B4D19" w:rsidRDefault="004B4D19" w:rsidP="00C61D39">
      <w:pPr>
        <w:overflowPunct/>
        <w:autoSpaceDE/>
        <w:autoSpaceDN/>
        <w:adjustRightInd/>
        <w:spacing w:after="0"/>
        <w:textAlignment w:val="auto"/>
      </w:pPr>
    </w:p>
    <w:p w:rsidR="004B4D19" w:rsidRDefault="004B4D19" w:rsidP="004B4D19">
      <w:pPr>
        <w:pStyle w:val="Heading3"/>
      </w:pPr>
      <w:bookmarkStart w:id="109" w:name="_Toc66272923"/>
      <w:r>
        <w:t>4.2.1</w:t>
      </w:r>
      <w:r>
        <w:tab/>
        <w:t>Limits</w:t>
      </w:r>
      <w:bookmarkEnd w:id="109"/>
    </w:p>
    <w:p w:rsidR="004B4D19" w:rsidRDefault="004B4D19" w:rsidP="00C61D39">
      <w:pPr>
        <w:overflowPunct/>
        <w:autoSpaceDE/>
        <w:autoSpaceDN/>
        <w:adjustRightInd/>
        <w:spacing w:after="0"/>
        <w:textAlignment w:val="auto"/>
      </w:pPr>
    </w:p>
    <w:p w:rsidR="004B4D19" w:rsidRDefault="004B4D19" w:rsidP="00C61D39">
      <w:pPr>
        <w:pStyle w:val="TH"/>
      </w:pPr>
      <w:r>
        <w:t xml:space="preserve">Table 4.2.2: </w:t>
      </w:r>
      <w:r w:rsidR="00E85895">
        <w:t>A</w:t>
      </w:r>
      <w:r w:rsidR="00E85895" w:rsidRPr="004B4D19">
        <w:t xml:space="preserve">dditional </w:t>
      </w:r>
      <w:r w:rsidR="00E85895">
        <w:t>requirement</w:t>
      </w:r>
      <w:r w:rsidR="00E85895" w:rsidRPr="004B4D19">
        <w:t xml:space="preserve"> </w:t>
      </w:r>
      <w:r w:rsidRPr="004B4D19">
        <w:t xml:space="preserve">below 3400 MHz for country specific cases, </w:t>
      </w:r>
      <w:r w:rsidR="00A34528">
        <w:br/>
      </w:r>
      <w:r w:rsidRPr="004B4D19">
        <w:t>for non-AAS and AAS base stations</w:t>
      </w:r>
    </w:p>
    <w:tbl>
      <w:tblPr>
        <w:tblStyle w:val="TableGrid"/>
        <w:tblW w:w="0" w:type="auto"/>
        <w:tblLook w:val="04A0" w:firstRow="1" w:lastRow="0" w:firstColumn="1" w:lastColumn="0" w:noHBand="0" w:noVBand="1"/>
      </w:tblPr>
      <w:tblGrid>
        <w:gridCol w:w="970"/>
        <w:gridCol w:w="2280"/>
        <w:gridCol w:w="1662"/>
        <w:gridCol w:w="1655"/>
        <w:gridCol w:w="1655"/>
        <w:gridCol w:w="1407"/>
      </w:tblGrid>
      <w:tr w:rsidR="00A34528" w:rsidRPr="00516E4F" w:rsidTr="00C61D39">
        <w:tc>
          <w:tcPr>
            <w:tcW w:w="970" w:type="dxa"/>
          </w:tcPr>
          <w:p w:rsidR="00A34528" w:rsidRPr="00C61D39" w:rsidRDefault="00A34528" w:rsidP="00A34528">
            <w:pPr>
              <w:overflowPunct/>
              <w:autoSpaceDE/>
              <w:autoSpaceDN/>
              <w:adjustRightInd/>
              <w:spacing w:after="0"/>
              <w:textAlignment w:val="auto"/>
              <w:rPr>
                <w:rFonts w:ascii="Arial" w:hAnsi="Arial" w:cs="Arial"/>
                <w:b/>
                <w:sz w:val="18"/>
                <w:szCs w:val="18"/>
              </w:rPr>
            </w:pPr>
          </w:p>
        </w:tc>
        <w:tc>
          <w:tcPr>
            <w:tcW w:w="2280" w:type="dxa"/>
          </w:tcPr>
          <w:p w:rsidR="00A34528" w:rsidRPr="00C61D39" w:rsidRDefault="00A34528" w:rsidP="00A34528">
            <w:pPr>
              <w:overflowPunct/>
              <w:autoSpaceDE/>
              <w:autoSpaceDN/>
              <w:adjustRightInd/>
              <w:spacing w:after="0"/>
              <w:textAlignment w:val="auto"/>
              <w:rPr>
                <w:rFonts w:ascii="Arial" w:hAnsi="Arial" w:cs="Arial"/>
                <w:b/>
                <w:sz w:val="18"/>
                <w:szCs w:val="18"/>
              </w:rPr>
            </w:pPr>
            <w:r w:rsidRPr="00C61D39">
              <w:rPr>
                <w:rFonts w:ascii="Arial" w:hAnsi="Arial" w:cs="Arial"/>
                <w:b/>
                <w:sz w:val="18"/>
                <w:szCs w:val="18"/>
              </w:rPr>
              <w:t>Case</w:t>
            </w:r>
          </w:p>
        </w:tc>
        <w:tc>
          <w:tcPr>
            <w:tcW w:w="1662" w:type="dxa"/>
          </w:tcPr>
          <w:p w:rsidR="00A34528" w:rsidRPr="00C61D39" w:rsidRDefault="00A34528" w:rsidP="00A34528">
            <w:pPr>
              <w:overflowPunct/>
              <w:autoSpaceDE/>
              <w:autoSpaceDN/>
              <w:adjustRightInd/>
              <w:spacing w:after="0"/>
              <w:textAlignment w:val="auto"/>
              <w:rPr>
                <w:rFonts w:ascii="Arial" w:hAnsi="Arial" w:cs="Arial"/>
                <w:b/>
                <w:sz w:val="18"/>
                <w:szCs w:val="18"/>
              </w:rPr>
            </w:pPr>
            <w:commentRangeStart w:id="110"/>
            <w:r w:rsidRPr="00C61D39">
              <w:rPr>
                <w:rFonts w:ascii="Arial" w:hAnsi="Arial" w:cs="Arial"/>
                <w:b/>
                <w:sz w:val="18"/>
                <w:szCs w:val="18"/>
              </w:rPr>
              <w:t>Frequency range</w:t>
            </w:r>
            <w:commentRangeEnd w:id="110"/>
            <w:r w:rsidR="00E85895">
              <w:rPr>
                <w:rStyle w:val="CommentReference"/>
              </w:rPr>
              <w:commentReference w:id="110"/>
            </w:r>
          </w:p>
        </w:tc>
        <w:tc>
          <w:tcPr>
            <w:tcW w:w="1655" w:type="dxa"/>
          </w:tcPr>
          <w:p w:rsidR="00A34528" w:rsidRPr="00C61D39" w:rsidRDefault="00A34528" w:rsidP="00A34528">
            <w:pPr>
              <w:overflowPunct/>
              <w:autoSpaceDE/>
              <w:autoSpaceDN/>
              <w:adjustRightInd/>
              <w:spacing w:after="0"/>
              <w:textAlignment w:val="auto"/>
              <w:rPr>
                <w:rFonts w:ascii="Arial" w:hAnsi="Arial" w:cs="Arial"/>
                <w:b/>
                <w:sz w:val="18"/>
                <w:szCs w:val="18"/>
              </w:rPr>
            </w:pPr>
            <w:r w:rsidRPr="00C61D39">
              <w:rPr>
                <w:rFonts w:ascii="Arial" w:hAnsi="Arial" w:cs="Arial"/>
                <w:b/>
                <w:sz w:val="18"/>
                <w:szCs w:val="18"/>
              </w:rPr>
              <w:t>Non AAS limit</w:t>
            </w:r>
          </w:p>
        </w:tc>
        <w:tc>
          <w:tcPr>
            <w:tcW w:w="1655" w:type="dxa"/>
          </w:tcPr>
          <w:p w:rsidR="00A34528" w:rsidRPr="00C61D39" w:rsidRDefault="00A34528" w:rsidP="00A34528">
            <w:pPr>
              <w:overflowPunct/>
              <w:autoSpaceDE/>
              <w:autoSpaceDN/>
              <w:adjustRightInd/>
              <w:spacing w:after="0"/>
              <w:textAlignment w:val="auto"/>
              <w:rPr>
                <w:rFonts w:ascii="Arial" w:hAnsi="Arial" w:cs="Arial"/>
                <w:b/>
                <w:sz w:val="18"/>
                <w:szCs w:val="18"/>
              </w:rPr>
            </w:pPr>
            <w:r w:rsidRPr="00C61D39">
              <w:rPr>
                <w:rFonts w:ascii="Arial" w:hAnsi="Arial" w:cs="Arial"/>
                <w:b/>
                <w:sz w:val="18"/>
                <w:szCs w:val="18"/>
              </w:rPr>
              <w:t>AAS TRP limit</w:t>
            </w:r>
          </w:p>
        </w:tc>
        <w:tc>
          <w:tcPr>
            <w:tcW w:w="1407" w:type="dxa"/>
          </w:tcPr>
          <w:p w:rsidR="00A34528" w:rsidRPr="00C61D39" w:rsidRDefault="00A34528" w:rsidP="00A34528">
            <w:pPr>
              <w:overflowPunct/>
              <w:autoSpaceDE/>
              <w:autoSpaceDN/>
              <w:adjustRightInd/>
              <w:spacing w:after="0"/>
              <w:textAlignment w:val="auto"/>
              <w:rPr>
                <w:rFonts w:ascii="Arial" w:hAnsi="Arial" w:cs="Arial"/>
                <w:b/>
                <w:sz w:val="18"/>
                <w:szCs w:val="18"/>
              </w:rPr>
            </w:pPr>
            <w:r w:rsidRPr="00C61D39">
              <w:rPr>
                <w:rFonts w:ascii="Arial" w:hAnsi="Arial" w:cs="Arial"/>
                <w:b/>
                <w:sz w:val="18"/>
                <w:szCs w:val="18"/>
              </w:rPr>
              <w:t>Measurement bandwidth</w:t>
            </w:r>
          </w:p>
        </w:tc>
      </w:tr>
      <w:tr w:rsidR="00A34528" w:rsidRPr="00516E4F" w:rsidTr="00C61D39">
        <w:tc>
          <w:tcPr>
            <w:tcW w:w="970"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Case A</w:t>
            </w:r>
          </w:p>
        </w:tc>
        <w:tc>
          <w:tcPr>
            <w:tcW w:w="2280"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Countries with military radiolocation systems below 3400 MHz</w:t>
            </w:r>
          </w:p>
        </w:tc>
        <w:tc>
          <w:tcPr>
            <w:tcW w:w="1662"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Below 3400 MHz</w:t>
            </w:r>
          </w:p>
        </w:tc>
        <w:tc>
          <w:tcPr>
            <w:tcW w:w="1655" w:type="dxa"/>
          </w:tcPr>
          <w:p w:rsidR="00A34528" w:rsidRPr="00C61D39" w:rsidRDefault="00A34528" w:rsidP="00B96C9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w:t>
            </w:r>
            <w:r w:rsidR="00AF45A5">
              <w:rPr>
                <w:rFonts w:ascii="Arial" w:hAnsi="Arial" w:cs="Arial"/>
                <w:sz w:val="18"/>
                <w:szCs w:val="18"/>
              </w:rPr>
              <w:t xml:space="preserve"> 80 </w:t>
            </w:r>
            <w:r w:rsidRPr="00C61D39">
              <w:rPr>
                <w:rFonts w:ascii="Arial" w:hAnsi="Arial" w:cs="Arial"/>
                <w:sz w:val="18"/>
                <w:szCs w:val="18"/>
              </w:rPr>
              <w:t xml:space="preserve">dBm </w:t>
            </w:r>
          </w:p>
        </w:tc>
        <w:tc>
          <w:tcPr>
            <w:tcW w:w="1655" w:type="dxa"/>
            <w:vMerge w:val="restart"/>
          </w:tcPr>
          <w:p w:rsidR="00A34528" w:rsidRPr="00C61D39" w:rsidRDefault="00A34528" w:rsidP="00B96C9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 xml:space="preserve">– 52 dBm </w:t>
            </w:r>
          </w:p>
        </w:tc>
        <w:tc>
          <w:tcPr>
            <w:tcW w:w="1407"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1 MHz</w:t>
            </w:r>
          </w:p>
        </w:tc>
      </w:tr>
      <w:tr w:rsidR="00A34528" w:rsidRPr="00516E4F" w:rsidTr="00C61D39">
        <w:tc>
          <w:tcPr>
            <w:tcW w:w="970"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Case B</w:t>
            </w:r>
          </w:p>
        </w:tc>
        <w:tc>
          <w:tcPr>
            <w:tcW w:w="2280"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Countries with military radiolocation systems below 3400 MHz</w:t>
            </w:r>
          </w:p>
        </w:tc>
        <w:tc>
          <w:tcPr>
            <w:tcW w:w="1662"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Below 3400 MHz</w:t>
            </w:r>
          </w:p>
        </w:tc>
        <w:tc>
          <w:tcPr>
            <w:tcW w:w="1655" w:type="dxa"/>
          </w:tcPr>
          <w:p w:rsidR="00A34528" w:rsidRPr="00C61D39" w:rsidRDefault="00AF45A5" w:rsidP="00B96C98">
            <w:pPr>
              <w:overflowPunct/>
              <w:autoSpaceDE/>
              <w:autoSpaceDN/>
              <w:adjustRightInd/>
              <w:spacing w:after="0"/>
              <w:textAlignment w:val="auto"/>
              <w:rPr>
                <w:rFonts w:ascii="Arial" w:hAnsi="Arial" w:cs="Arial"/>
                <w:sz w:val="18"/>
                <w:szCs w:val="18"/>
              </w:rPr>
            </w:pPr>
            <w:r w:rsidRPr="00B96C98">
              <w:rPr>
                <w:rFonts w:ascii="Arial" w:hAnsi="Arial" w:cs="Arial"/>
                <w:sz w:val="18"/>
                <w:szCs w:val="18"/>
              </w:rPr>
              <w:t>–</w:t>
            </w:r>
            <w:r>
              <w:rPr>
                <w:rFonts w:ascii="Arial" w:hAnsi="Arial" w:cs="Arial"/>
                <w:sz w:val="18"/>
                <w:szCs w:val="18"/>
              </w:rPr>
              <w:t xml:space="preserve"> </w:t>
            </w:r>
            <w:r w:rsidRPr="00C61D39">
              <w:rPr>
                <w:rFonts w:ascii="Arial" w:hAnsi="Arial" w:cs="Arial"/>
                <w:sz w:val="18"/>
                <w:szCs w:val="18"/>
              </w:rPr>
              <w:t xml:space="preserve">71 </w:t>
            </w:r>
            <w:r w:rsidR="00A34528" w:rsidRPr="00C61D39">
              <w:rPr>
                <w:rFonts w:ascii="Arial" w:hAnsi="Arial" w:cs="Arial"/>
                <w:sz w:val="18"/>
                <w:szCs w:val="18"/>
              </w:rPr>
              <w:t>dBm</w:t>
            </w:r>
          </w:p>
        </w:tc>
        <w:tc>
          <w:tcPr>
            <w:tcW w:w="1655" w:type="dxa"/>
            <w:vMerge/>
          </w:tcPr>
          <w:p w:rsidR="00A34528" w:rsidRPr="00C61D39" w:rsidRDefault="00A34528" w:rsidP="00A34528">
            <w:pPr>
              <w:overflowPunct/>
              <w:autoSpaceDE/>
              <w:autoSpaceDN/>
              <w:adjustRightInd/>
              <w:spacing w:after="0"/>
              <w:textAlignment w:val="auto"/>
              <w:rPr>
                <w:rFonts w:ascii="Arial" w:hAnsi="Arial" w:cs="Arial"/>
                <w:sz w:val="18"/>
                <w:szCs w:val="18"/>
              </w:rPr>
            </w:pPr>
          </w:p>
        </w:tc>
        <w:tc>
          <w:tcPr>
            <w:tcW w:w="1407"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1 MHz</w:t>
            </w:r>
          </w:p>
        </w:tc>
      </w:tr>
      <w:tr w:rsidR="00A34528" w:rsidRPr="00516E4F" w:rsidTr="00C61D39">
        <w:tc>
          <w:tcPr>
            <w:tcW w:w="970"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Case C</w:t>
            </w:r>
          </w:p>
        </w:tc>
        <w:tc>
          <w:tcPr>
            <w:tcW w:w="2280"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Countries without adjacent band usage or with usage that does not need extra protection</w:t>
            </w:r>
          </w:p>
        </w:tc>
        <w:tc>
          <w:tcPr>
            <w:tcW w:w="1662"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Below 3400 MHz</w:t>
            </w:r>
          </w:p>
        </w:tc>
        <w:tc>
          <w:tcPr>
            <w:tcW w:w="1655"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Not applicable</w:t>
            </w:r>
          </w:p>
        </w:tc>
        <w:tc>
          <w:tcPr>
            <w:tcW w:w="1655"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Not applicable</w:t>
            </w:r>
          </w:p>
        </w:tc>
        <w:tc>
          <w:tcPr>
            <w:tcW w:w="1407" w:type="dxa"/>
          </w:tcPr>
          <w:p w:rsidR="00A34528" w:rsidRPr="00C61D39" w:rsidRDefault="00A34528" w:rsidP="00A34528">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Not applicable</w:t>
            </w:r>
          </w:p>
        </w:tc>
      </w:tr>
    </w:tbl>
    <w:p w:rsidR="004B4D19" w:rsidRDefault="004B4D19" w:rsidP="00C61D39">
      <w:pPr>
        <w:overflowPunct/>
        <w:autoSpaceDE/>
        <w:autoSpaceDN/>
        <w:adjustRightInd/>
        <w:spacing w:after="0"/>
        <w:textAlignment w:val="auto"/>
      </w:pPr>
    </w:p>
    <w:p w:rsidR="004B4D19" w:rsidRDefault="00E85895" w:rsidP="00B96C98">
      <w:pPr>
        <w:overflowPunct/>
        <w:autoSpaceDE/>
        <w:autoSpaceDN/>
        <w:adjustRightInd/>
        <w:spacing w:after="0"/>
        <w:textAlignment w:val="auto"/>
      </w:pPr>
      <w:r>
        <w:rPr>
          <w:lang w:eastAsia="en-GB"/>
        </w:rPr>
        <w:t>These r</w:t>
      </w:r>
      <w:r>
        <w:t xml:space="preserve">equirements are derived from Table 6 of </w:t>
      </w:r>
      <w:r w:rsidRPr="000E1E1A">
        <w:rPr>
          <w:lang w:eastAsia="en-GB"/>
        </w:rPr>
        <w:t>COMMISSION IMPLEMENTING DECISION (EU) 2019/235</w:t>
      </w:r>
      <w:r>
        <w:rPr>
          <w:lang w:eastAsia="en-GB"/>
        </w:rPr>
        <w:t xml:space="preserve"> [i.3] </w:t>
      </w:r>
      <w:r w:rsidRPr="00CF0720">
        <w:t>assuming a 21 dBi antenna gain</w:t>
      </w:r>
      <w:r>
        <w:t xml:space="preserve"> for the non-AAS cases.</w:t>
      </w:r>
    </w:p>
    <w:p w:rsidR="00E85895" w:rsidRDefault="00E85895" w:rsidP="00B96C98">
      <w:pPr>
        <w:overflowPunct/>
        <w:autoSpaceDE/>
        <w:autoSpaceDN/>
        <w:adjustRightInd/>
        <w:spacing w:after="0"/>
        <w:textAlignment w:val="auto"/>
      </w:pPr>
    </w:p>
    <w:p w:rsidR="00A34528" w:rsidRDefault="00A34528" w:rsidP="00A34528">
      <w:pPr>
        <w:pStyle w:val="Heading3"/>
      </w:pPr>
      <w:bookmarkStart w:id="111" w:name="_Toc66272924"/>
      <w:commentRangeStart w:id="112"/>
      <w:r>
        <w:t>4.2.2</w:t>
      </w:r>
      <w:r>
        <w:tab/>
      </w:r>
      <w:r w:rsidRPr="008B3D2B">
        <w:t>Testing for compliance with technical requirements</w:t>
      </w:r>
      <w:bookmarkEnd w:id="111"/>
      <w:commentRangeEnd w:id="112"/>
      <w:r w:rsidR="00E85895">
        <w:rPr>
          <w:rStyle w:val="CommentReference"/>
          <w:rFonts w:ascii="Times New Roman" w:hAnsi="Times New Roman"/>
        </w:rPr>
        <w:commentReference w:id="112"/>
      </w:r>
    </w:p>
    <w:p w:rsidR="00DE5D42" w:rsidRDefault="00DE5D42" w:rsidP="00A34528">
      <w:pPr>
        <w:overflowPunct/>
        <w:autoSpaceDE/>
        <w:autoSpaceDN/>
        <w:adjustRightInd/>
        <w:spacing w:after="0"/>
        <w:textAlignment w:val="auto"/>
      </w:pPr>
    </w:p>
    <w:p w:rsidR="00E85895" w:rsidRPr="00E85895" w:rsidRDefault="00E85895" w:rsidP="00E85895">
      <w:r w:rsidRPr="00E85895">
        <w:t xml:space="preserve">The following test suites apply: </w:t>
      </w:r>
    </w:p>
    <w:p w:rsidR="00E85895" w:rsidRPr="00E85895" w:rsidRDefault="00E85895" w:rsidP="00E85895">
      <w:r w:rsidRPr="00E85895">
        <w:t>   - For MSR BS, the test suite specified in ETSI EN 301 908-18 [5], clause 5.3.1 shall be used. Test between X and Y MHz</w:t>
      </w:r>
    </w:p>
    <w:p w:rsidR="00E85895" w:rsidRPr="00E85895" w:rsidRDefault="00E85895" w:rsidP="00E85895">
      <w:r w:rsidRPr="00E85895">
        <w:t>   - For E-UTRA BS, ...</w:t>
      </w:r>
    </w:p>
    <w:p w:rsidR="00E85895" w:rsidRPr="00E85895" w:rsidRDefault="00E85895" w:rsidP="00E85895">
      <w:r w:rsidRPr="00E85895">
        <w:t>Include references to Part 3, 14, 18, 23, 24</w:t>
      </w:r>
    </w:p>
    <w:p w:rsidR="00E85895" w:rsidRPr="00E85895" w:rsidRDefault="00E85895" w:rsidP="00E85895"/>
    <w:p w:rsidR="00E85895" w:rsidRDefault="00E85895" w:rsidP="00E85895">
      <w:pPr>
        <w:overflowPunct/>
        <w:autoSpaceDE/>
        <w:autoSpaceDN/>
        <w:adjustRightInd/>
        <w:spacing w:after="0"/>
        <w:textAlignment w:val="auto"/>
      </w:pPr>
      <w:r w:rsidRPr="00E85895">
        <w:t>The results obtained shall be compared to the limits in clause 4.2.1 in order to prove compliance</w:t>
      </w:r>
    </w:p>
    <w:p w:rsidR="00E85895" w:rsidRDefault="00E85895" w:rsidP="00A34528">
      <w:pPr>
        <w:overflowPunct/>
        <w:autoSpaceDE/>
        <w:autoSpaceDN/>
        <w:adjustRightInd/>
        <w:spacing w:after="0"/>
        <w:textAlignment w:val="auto"/>
      </w:pPr>
    </w:p>
    <w:p w:rsidR="00E85895" w:rsidRDefault="00E85895" w:rsidP="00A34528">
      <w:pPr>
        <w:overflowPunct/>
        <w:autoSpaceDE/>
        <w:autoSpaceDN/>
        <w:adjustRightInd/>
        <w:spacing w:after="0"/>
        <w:textAlignment w:val="auto"/>
      </w:pPr>
    </w:p>
    <w:p w:rsidR="00E85895" w:rsidRDefault="00E85895" w:rsidP="00A34528">
      <w:pPr>
        <w:overflowPunct/>
        <w:autoSpaceDE/>
        <w:autoSpaceDN/>
        <w:adjustRightInd/>
        <w:spacing w:after="0"/>
        <w:textAlignment w:val="auto"/>
      </w:pPr>
    </w:p>
    <w:p w:rsidR="00DE5D42" w:rsidRDefault="00CC22E7" w:rsidP="00DE5D42">
      <w:pPr>
        <w:pStyle w:val="Heading2"/>
        <w:spacing w:before="120"/>
      </w:pPr>
      <w:bookmarkStart w:id="113" w:name="_Toc66272925"/>
      <w:r>
        <w:t>4.3</w:t>
      </w:r>
      <w:r>
        <w:tab/>
      </w:r>
      <w:bookmarkEnd w:id="113"/>
      <w:r w:rsidR="00E85895">
        <w:t>Protection of the Radio Astronomy Service operating above 2690 MHz</w:t>
      </w:r>
    </w:p>
    <w:p w:rsidR="00E85895" w:rsidRDefault="00E85895" w:rsidP="00E85895">
      <w:pPr>
        <w:overflowPunct/>
        <w:autoSpaceDE/>
        <w:autoSpaceDN/>
        <w:adjustRightInd/>
        <w:spacing w:after="0"/>
        <w:textAlignment w:val="auto"/>
      </w:pPr>
      <w:r>
        <w:t>The following requirement is applicable in specific geographical areas to reduce the size of the coordination zone with RAS stations.</w:t>
      </w:r>
    </w:p>
    <w:p w:rsidR="00E85895" w:rsidRDefault="00E85895" w:rsidP="00E85895">
      <w:pPr>
        <w:overflowPunct/>
        <w:autoSpaceDE/>
        <w:autoSpaceDN/>
        <w:adjustRightInd/>
        <w:spacing w:after="0"/>
        <w:textAlignment w:val="auto"/>
      </w:pPr>
    </w:p>
    <w:p w:rsidR="00E85895" w:rsidRDefault="00E85895" w:rsidP="00E85895">
      <w:pPr>
        <w:overflowPunct/>
        <w:autoSpaceDE/>
        <w:autoSpaceDN/>
        <w:adjustRightInd/>
        <w:spacing w:after="0"/>
        <w:textAlignment w:val="auto"/>
      </w:pPr>
      <w:r>
        <w:t xml:space="preserve">This requirement is applicable to FDD AAS BSs and NR BSs Type 1-H and Type 1-O operating in the frequency range in table 4.3.1. </w:t>
      </w:r>
    </w:p>
    <w:p w:rsidR="00DE5D42" w:rsidRDefault="00DE5D42" w:rsidP="00C61D39">
      <w:pPr>
        <w:overflowPunct/>
        <w:autoSpaceDE/>
        <w:autoSpaceDN/>
        <w:adjustRightInd/>
        <w:spacing w:after="0"/>
        <w:textAlignment w:val="auto"/>
      </w:pPr>
    </w:p>
    <w:p w:rsidR="00DE5D42" w:rsidRDefault="00D92C70" w:rsidP="00C61D39">
      <w:pPr>
        <w:pStyle w:val="TH"/>
      </w:pPr>
      <w:r w:rsidRPr="00335293">
        <w:t xml:space="preserve">Table </w:t>
      </w:r>
      <w:r>
        <w:t>4.3.1</w:t>
      </w:r>
      <w:r w:rsidRPr="00335293">
        <w:t>: Base station operating band</w:t>
      </w:r>
    </w:p>
    <w:tbl>
      <w:tblPr>
        <w:tblW w:w="8673" w:type="dxa"/>
        <w:jc w:val="center"/>
        <w:tblLook w:val="0000" w:firstRow="0" w:lastRow="0" w:firstColumn="0" w:lastColumn="0" w:noHBand="0" w:noVBand="0"/>
      </w:tblPr>
      <w:tblGrid>
        <w:gridCol w:w="1414"/>
        <w:gridCol w:w="1275"/>
        <w:gridCol w:w="1134"/>
        <w:gridCol w:w="2354"/>
        <w:gridCol w:w="2496"/>
      </w:tblGrid>
      <w:tr w:rsidR="005D6092" w:rsidRPr="00B96C98" w:rsidTr="00C61D39">
        <w:trPr>
          <w:tblHeader/>
          <w:jc w:val="center"/>
        </w:trPr>
        <w:tc>
          <w:tcPr>
            <w:tcW w:w="1414" w:type="dxa"/>
            <w:tcBorders>
              <w:top w:val="single" w:sz="4" w:space="0" w:color="auto"/>
              <w:left w:val="single" w:sz="4" w:space="0" w:color="auto"/>
              <w:bottom w:val="single" w:sz="4" w:space="0" w:color="auto"/>
              <w:right w:val="single" w:sz="4" w:space="0" w:color="auto"/>
            </w:tcBorders>
            <w:tcMar>
              <w:left w:w="57" w:type="dxa"/>
              <w:right w:w="57" w:type="dxa"/>
            </w:tcMar>
          </w:tcPr>
          <w:p w:rsidR="005D6092" w:rsidRPr="00B96C98" w:rsidRDefault="005D6092" w:rsidP="004875FC">
            <w:pPr>
              <w:pStyle w:val="TAH"/>
              <w:rPr>
                <w:rFonts w:cs="Arial"/>
              </w:rPr>
            </w:pPr>
            <w:r w:rsidRPr="00B96C98">
              <w:rPr>
                <w:rFonts w:cs="Arial"/>
              </w:rPr>
              <w:t>MSR and E</w:t>
            </w:r>
            <w:r w:rsidRPr="00B96C98">
              <w:rPr>
                <w:rFonts w:cs="Arial"/>
              </w:rPr>
              <w:noBreakHyphen/>
              <w:t>UTRA Band number</w:t>
            </w:r>
          </w:p>
        </w:tc>
        <w:tc>
          <w:tcPr>
            <w:tcW w:w="1275" w:type="dxa"/>
            <w:tcBorders>
              <w:top w:val="single" w:sz="4" w:space="0" w:color="auto"/>
              <w:left w:val="single" w:sz="4" w:space="0" w:color="auto"/>
              <w:bottom w:val="single" w:sz="4" w:space="0" w:color="auto"/>
              <w:right w:val="single" w:sz="4" w:space="0" w:color="auto"/>
            </w:tcBorders>
          </w:tcPr>
          <w:p w:rsidR="005D6092" w:rsidRPr="00B96C98" w:rsidRDefault="005D6092" w:rsidP="004875FC">
            <w:pPr>
              <w:pStyle w:val="TAH"/>
              <w:rPr>
                <w:rFonts w:cs="Arial"/>
              </w:rPr>
            </w:pPr>
            <w:r w:rsidRPr="00B96C98">
              <w:rPr>
                <w:rFonts w:cs="Arial"/>
              </w:rPr>
              <w:t>NR Band number</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tcPr>
          <w:p w:rsidR="005D6092" w:rsidRPr="00B96C98" w:rsidRDefault="005D6092" w:rsidP="004875FC">
            <w:pPr>
              <w:pStyle w:val="TAH"/>
              <w:rPr>
                <w:rFonts w:cs="Arial"/>
              </w:rPr>
            </w:pPr>
            <w:r w:rsidRPr="00B96C98">
              <w:rPr>
                <w:rFonts w:cs="Arial"/>
              </w:rPr>
              <w:t>UTRA</w:t>
            </w:r>
            <w:r w:rsidRPr="00B96C98">
              <w:rPr>
                <w:rFonts w:cs="Arial"/>
              </w:rPr>
              <w:br/>
              <w:t>Band number</w:t>
            </w:r>
          </w:p>
        </w:tc>
        <w:tc>
          <w:tcPr>
            <w:tcW w:w="2354" w:type="dxa"/>
            <w:tcBorders>
              <w:top w:val="single" w:sz="4" w:space="0" w:color="auto"/>
              <w:left w:val="single" w:sz="4" w:space="0" w:color="auto"/>
              <w:bottom w:val="single" w:sz="4" w:space="0" w:color="auto"/>
              <w:right w:val="single" w:sz="4" w:space="0" w:color="auto"/>
            </w:tcBorders>
          </w:tcPr>
          <w:p w:rsidR="005D6092" w:rsidRPr="00B96C98" w:rsidRDefault="005D6092" w:rsidP="004875FC">
            <w:pPr>
              <w:pStyle w:val="TAH"/>
              <w:rPr>
                <w:rFonts w:cs="Arial"/>
              </w:rPr>
            </w:pPr>
            <w:r w:rsidRPr="00B96C98">
              <w:rPr>
                <w:rFonts w:cs="Arial"/>
              </w:rPr>
              <w:t>Uplink (UL) BS receive</w:t>
            </w:r>
            <w:r w:rsidRPr="00B96C98">
              <w:rPr>
                <w:rFonts w:cs="Arial"/>
              </w:rPr>
              <w:br/>
              <w:t>UE transmit</w:t>
            </w:r>
          </w:p>
        </w:tc>
        <w:tc>
          <w:tcPr>
            <w:tcW w:w="2496" w:type="dxa"/>
            <w:tcBorders>
              <w:top w:val="single" w:sz="4" w:space="0" w:color="auto"/>
              <w:bottom w:val="single" w:sz="4" w:space="0" w:color="auto"/>
              <w:right w:val="single" w:sz="4" w:space="0" w:color="auto"/>
            </w:tcBorders>
          </w:tcPr>
          <w:p w:rsidR="005D6092" w:rsidRPr="00B96C98" w:rsidRDefault="005D6092" w:rsidP="004875FC">
            <w:pPr>
              <w:pStyle w:val="TAH"/>
              <w:rPr>
                <w:rFonts w:cs="Arial"/>
              </w:rPr>
            </w:pPr>
            <w:r w:rsidRPr="00B96C98">
              <w:rPr>
                <w:rFonts w:cs="Arial"/>
              </w:rPr>
              <w:t xml:space="preserve">Downlink (DL) BS transmit </w:t>
            </w:r>
            <w:r w:rsidRPr="00B96C98">
              <w:rPr>
                <w:rFonts w:cs="Arial"/>
              </w:rPr>
              <w:br/>
              <w:t>UE receive</w:t>
            </w:r>
          </w:p>
        </w:tc>
      </w:tr>
      <w:tr w:rsidR="005D6092" w:rsidRPr="009C4728" w:rsidTr="00C61D39">
        <w:trPr>
          <w:jc w:val="center"/>
        </w:trPr>
        <w:tc>
          <w:tcPr>
            <w:tcW w:w="1414" w:type="dxa"/>
            <w:tcBorders>
              <w:top w:val="single" w:sz="4" w:space="0" w:color="auto"/>
              <w:left w:val="single" w:sz="4" w:space="0" w:color="auto"/>
              <w:bottom w:val="single" w:sz="4" w:space="0" w:color="auto"/>
              <w:right w:val="single" w:sz="4" w:space="0" w:color="auto"/>
            </w:tcBorders>
            <w:tcMar>
              <w:left w:w="57" w:type="dxa"/>
              <w:right w:w="57" w:type="dxa"/>
            </w:tcMar>
          </w:tcPr>
          <w:p w:rsidR="005D6092" w:rsidRPr="00B96C98" w:rsidRDefault="005D6092" w:rsidP="004875FC">
            <w:pPr>
              <w:pStyle w:val="TAC"/>
              <w:rPr>
                <w:rFonts w:cs="Arial"/>
              </w:rPr>
            </w:pPr>
            <w:r w:rsidRPr="00B96C98">
              <w:rPr>
                <w:rFonts w:cs="Arial"/>
              </w:rPr>
              <w:t>7</w:t>
            </w:r>
          </w:p>
        </w:tc>
        <w:tc>
          <w:tcPr>
            <w:tcW w:w="1275" w:type="dxa"/>
            <w:tcBorders>
              <w:top w:val="single" w:sz="4" w:space="0" w:color="auto"/>
              <w:left w:val="single" w:sz="4" w:space="0" w:color="auto"/>
              <w:bottom w:val="single" w:sz="4" w:space="0" w:color="auto"/>
              <w:right w:val="single" w:sz="4" w:space="0" w:color="auto"/>
            </w:tcBorders>
          </w:tcPr>
          <w:p w:rsidR="005D6092" w:rsidRPr="00B96C98" w:rsidRDefault="005D6092" w:rsidP="004875FC">
            <w:pPr>
              <w:pStyle w:val="TAC"/>
              <w:rPr>
                <w:rFonts w:cs="Arial"/>
              </w:rPr>
            </w:pPr>
            <w:r w:rsidRPr="00B96C98">
              <w:rPr>
                <w:rFonts w:cs="Arial"/>
              </w:rPr>
              <w:t>n7</w:t>
            </w:r>
          </w:p>
        </w:tc>
        <w:tc>
          <w:tcPr>
            <w:tcW w:w="1134" w:type="dxa"/>
            <w:tcBorders>
              <w:top w:val="single" w:sz="4" w:space="0" w:color="auto"/>
              <w:left w:val="single" w:sz="4" w:space="0" w:color="auto"/>
              <w:bottom w:val="single" w:sz="4" w:space="0" w:color="auto"/>
              <w:right w:val="single" w:sz="4" w:space="0" w:color="auto"/>
            </w:tcBorders>
            <w:tcMar>
              <w:left w:w="57" w:type="dxa"/>
              <w:right w:w="57" w:type="dxa"/>
            </w:tcMar>
          </w:tcPr>
          <w:p w:rsidR="005D6092" w:rsidRPr="00B96C98" w:rsidRDefault="005D6092" w:rsidP="004875FC">
            <w:pPr>
              <w:pStyle w:val="TAC"/>
              <w:rPr>
                <w:rFonts w:cs="Arial"/>
              </w:rPr>
            </w:pPr>
            <w:r w:rsidRPr="00B96C98">
              <w:rPr>
                <w:rFonts w:cs="Arial"/>
              </w:rPr>
              <w:t>VII</w:t>
            </w:r>
          </w:p>
        </w:tc>
        <w:tc>
          <w:tcPr>
            <w:tcW w:w="2354" w:type="dxa"/>
            <w:tcBorders>
              <w:top w:val="single" w:sz="4" w:space="0" w:color="auto"/>
              <w:left w:val="single" w:sz="4" w:space="0" w:color="auto"/>
              <w:bottom w:val="single" w:sz="4" w:space="0" w:color="auto"/>
              <w:right w:val="single" w:sz="4" w:space="0" w:color="auto"/>
            </w:tcBorders>
          </w:tcPr>
          <w:p w:rsidR="005D6092" w:rsidRPr="00B96C98" w:rsidRDefault="005D6092" w:rsidP="00C61D39">
            <w:pPr>
              <w:pStyle w:val="TAR"/>
              <w:jc w:val="center"/>
              <w:rPr>
                <w:rFonts w:cs="Arial"/>
              </w:rPr>
            </w:pPr>
            <w:r w:rsidRPr="00B96C98">
              <w:rPr>
                <w:rFonts w:cs="Arial"/>
              </w:rPr>
              <w:t>2500 MHz – 2570 MHz</w:t>
            </w:r>
          </w:p>
        </w:tc>
        <w:tc>
          <w:tcPr>
            <w:tcW w:w="2496" w:type="dxa"/>
            <w:tcBorders>
              <w:top w:val="single" w:sz="4" w:space="0" w:color="auto"/>
              <w:bottom w:val="single" w:sz="4" w:space="0" w:color="auto"/>
              <w:right w:val="single" w:sz="4" w:space="0" w:color="auto"/>
            </w:tcBorders>
          </w:tcPr>
          <w:p w:rsidR="005D6092" w:rsidRPr="009C4728" w:rsidRDefault="005D6092" w:rsidP="00C61D39">
            <w:pPr>
              <w:pStyle w:val="TAR"/>
              <w:jc w:val="center"/>
              <w:rPr>
                <w:rFonts w:cs="Arial"/>
              </w:rPr>
            </w:pPr>
            <w:r w:rsidRPr="00B96C98">
              <w:rPr>
                <w:rFonts w:cs="Arial"/>
              </w:rPr>
              <w:t>2620 MHz – 2690 MHz</w:t>
            </w:r>
          </w:p>
        </w:tc>
      </w:tr>
    </w:tbl>
    <w:p w:rsidR="00DE5D42" w:rsidRDefault="00DE5D42" w:rsidP="00C61D39">
      <w:pPr>
        <w:overflowPunct/>
        <w:autoSpaceDE/>
        <w:autoSpaceDN/>
        <w:adjustRightInd/>
        <w:spacing w:after="0"/>
        <w:textAlignment w:val="auto"/>
      </w:pPr>
    </w:p>
    <w:p w:rsidR="00D92C70" w:rsidRDefault="00D92C70" w:rsidP="00D92C70">
      <w:pPr>
        <w:pStyle w:val="Heading3"/>
      </w:pPr>
      <w:bookmarkStart w:id="114" w:name="_Toc66272926"/>
      <w:r>
        <w:t>4.3.1</w:t>
      </w:r>
      <w:r>
        <w:tab/>
        <w:t>Limits</w:t>
      </w:r>
      <w:bookmarkEnd w:id="114"/>
    </w:p>
    <w:p w:rsidR="00D92C70" w:rsidRDefault="00D92C70" w:rsidP="00C61D39">
      <w:pPr>
        <w:pStyle w:val="TH"/>
      </w:pPr>
      <w:r w:rsidRPr="00335293">
        <w:t xml:space="preserve">Table </w:t>
      </w:r>
      <w:r>
        <w:t>4.3.2</w:t>
      </w:r>
      <w:r w:rsidRPr="00335293">
        <w:t xml:space="preserve">: </w:t>
      </w:r>
      <w:r w:rsidR="00E85895" w:rsidRPr="00D92C70">
        <w:t xml:space="preserve">Additional </w:t>
      </w:r>
      <w:r w:rsidR="00E85895">
        <w:t xml:space="preserve">requirement </w:t>
      </w:r>
      <w:r w:rsidRPr="00D92C70">
        <w:t xml:space="preserve">for FDD AAS </w:t>
      </w:r>
      <w:r>
        <w:t xml:space="preserve">BSs </w:t>
      </w:r>
      <w:r>
        <w:br/>
      </w:r>
      <w:r w:rsidRPr="00D92C70">
        <w:t>with regard to Radio Astronomy Service</w:t>
      </w:r>
    </w:p>
    <w:tbl>
      <w:tblPr>
        <w:tblStyle w:val="TableGrid"/>
        <w:tblW w:w="0" w:type="auto"/>
        <w:jc w:val="center"/>
        <w:tblLook w:val="04A0" w:firstRow="1" w:lastRow="0" w:firstColumn="1" w:lastColumn="0" w:noHBand="0" w:noVBand="1"/>
      </w:tblPr>
      <w:tblGrid>
        <w:gridCol w:w="2405"/>
        <w:gridCol w:w="1418"/>
        <w:gridCol w:w="2288"/>
      </w:tblGrid>
      <w:tr w:rsidR="00D92C70" w:rsidRPr="00D92C70" w:rsidTr="00C61D39">
        <w:trPr>
          <w:jc w:val="center"/>
        </w:trPr>
        <w:tc>
          <w:tcPr>
            <w:tcW w:w="2405" w:type="dxa"/>
          </w:tcPr>
          <w:p w:rsidR="00D92C70" w:rsidRPr="00C61D39" w:rsidRDefault="00D92C70" w:rsidP="004875FC">
            <w:pPr>
              <w:overflowPunct/>
              <w:autoSpaceDE/>
              <w:autoSpaceDN/>
              <w:adjustRightInd/>
              <w:spacing w:after="0"/>
              <w:textAlignment w:val="auto"/>
              <w:rPr>
                <w:rFonts w:ascii="Arial" w:hAnsi="Arial" w:cs="Arial"/>
                <w:b/>
                <w:sz w:val="18"/>
                <w:szCs w:val="18"/>
              </w:rPr>
            </w:pPr>
            <w:r w:rsidRPr="00C61D39">
              <w:rPr>
                <w:rFonts w:ascii="Arial" w:hAnsi="Arial" w:cs="Arial"/>
                <w:b/>
                <w:sz w:val="18"/>
                <w:szCs w:val="18"/>
              </w:rPr>
              <w:t>Frequency range</w:t>
            </w:r>
          </w:p>
        </w:tc>
        <w:tc>
          <w:tcPr>
            <w:tcW w:w="1418" w:type="dxa"/>
          </w:tcPr>
          <w:p w:rsidR="00D92C70" w:rsidRPr="00C61D39" w:rsidRDefault="00D92C70" w:rsidP="00C61D39">
            <w:pPr>
              <w:overflowPunct/>
              <w:autoSpaceDE/>
              <w:autoSpaceDN/>
              <w:adjustRightInd/>
              <w:spacing w:after="0"/>
              <w:jc w:val="center"/>
              <w:textAlignment w:val="auto"/>
              <w:rPr>
                <w:rFonts w:ascii="Arial" w:hAnsi="Arial" w:cs="Arial"/>
                <w:b/>
                <w:sz w:val="18"/>
                <w:szCs w:val="18"/>
              </w:rPr>
            </w:pPr>
            <w:r w:rsidRPr="00C61D39">
              <w:rPr>
                <w:rFonts w:ascii="Arial" w:hAnsi="Arial" w:cs="Arial"/>
                <w:b/>
                <w:sz w:val="18"/>
                <w:szCs w:val="18"/>
              </w:rPr>
              <w:t>Case</w:t>
            </w:r>
            <w:r>
              <w:rPr>
                <w:rFonts w:ascii="Arial" w:hAnsi="Arial" w:cs="Arial"/>
                <w:b/>
                <w:sz w:val="18"/>
                <w:szCs w:val="18"/>
              </w:rPr>
              <w:t xml:space="preserve"> (Note 1)</w:t>
            </w:r>
          </w:p>
        </w:tc>
        <w:tc>
          <w:tcPr>
            <w:tcW w:w="2288" w:type="dxa"/>
          </w:tcPr>
          <w:p w:rsidR="00D92C70" w:rsidRPr="00C61D39" w:rsidRDefault="00D92C70" w:rsidP="00B96C98">
            <w:pPr>
              <w:overflowPunct/>
              <w:autoSpaceDE/>
              <w:autoSpaceDN/>
              <w:adjustRightInd/>
              <w:spacing w:after="0"/>
              <w:textAlignment w:val="auto"/>
              <w:rPr>
                <w:rFonts w:ascii="Arial" w:hAnsi="Arial" w:cs="Arial"/>
                <w:b/>
                <w:sz w:val="18"/>
                <w:szCs w:val="18"/>
              </w:rPr>
            </w:pPr>
            <w:r w:rsidRPr="00C61D39">
              <w:rPr>
                <w:rFonts w:ascii="Arial" w:hAnsi="Arial" w:cs="Arial"/>
                <w:b/>
                <w:sz w:val="18"/>
                <w:szCs w:val="18"/>
              </w:rPr>
              <w:t xml:space="preserve">TRP limit </w:t>
            </w:r>
          </w:p>
        </w:tc>
      </w:tr>
      <w:tr w:rsidR="00D92C70" w:rsidRPr="00D92C70" w:rsidTr="00C61D39">
        <w:trPr>
          <w:jc w:val="center"/>
        </w:trPr>
        <w:tc>
          <w:tcPr>
            <w:tcW w:w="2405" w:type="dxa"/>
            <w:vMerge w:val="restart"/>
          </w:tcPr>
          <w:p w:rsidR="00D92C70" w:rsidRPr="00C61D39" w:rsidRDefault="00D92C70" w:rsidP="00D92C70">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2690-2700 MHz</w:t>
            </w:r>
          </w:p>
        </w:tc>
        <w:tc>
          <w:tcPr>
            <w:tcW w:w="1418" w:type="dxa"/>
          </w:tcPr>
          <w:p w:rsidR="00D92C70" w:rsidRPr="00C61D39" w:rsidRDefault="00D92C70" w:rsidP="00C61D39">
            <w:pPr>
              <w:overflowPunct/>
              <w:autoSpaceDE/>
              <w:autoSpaceDN/>
              <w:adjustRightInd/>
              <w:spacing w:after="0"/>
              <w:jc w:val="center"/>
              <w:textAlignment w:val="auto"/>
              <w:rPr>
                <w:rFonts w:ascii="Arial" w:hAnsi="Arial" w:cs="Arial"/>
                <w:sz w:val="18"/>
                <w:szCs w:val="18"/>
              </w:rPr>
            </w:pPr>
            <w:r w:rsidRPr="00C61D39">
              <w:rPr>
                <w:rFonts w:ascii="Arial" w:hAnsi="Arial" w:cs="Arial"/>
                <w:sz w:val="18"/>
                <w:szCs w:val="18"/>
              </w:rPr>
              <w:t>A</w:t>
            </w:r>
          </w:p>
        </w:tc>
        <w:tc>
          <w:tcPr>
            <w:tcW w:w="2288" w:type="dxa"/>
          </w:tcPr>
          <w:p w:rsidR="00D92C70" w:rsidRPr="00C61D39" w:rsidRDefault="00D92C70" w:rsidP="00D92C70">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+ 3 dBm/10 MHz</w:t>
            </w:r>
          </w:p>
        </w:tc>
      </w:tr>
      <w:tr w:rsidR="00D92C70" w:rsidRPr="00D92C70" w:rsidTr="00C61D39">
        <w:trPr>
          <w:jc w:val="center"/>
        </w:trPr>
        <w:tc>
          <w:tcPr>
            <w:tcW w:w="2405" w:type="dxa"/>
            <w:vMerge/>
          </w:tcPr>
          <w:p w:rsidR="00D92C70" w:rsidRPr="00C61D39" w:rsidRDefault="00D92C70" w:rsidP="00D92C70">
            <w:pPr>
              <w:overflowPunct/>
              <w:autoSpaceDE/>
              <w:autoSpaceDN/>
              <w:adjustRightInd/>
              <w:spacing w:after="0"/>
              <w:textAlignment w:val="auto"/>
              <w:rPr>
                <w:rFonts w:ascii="Arial" w:hAnsi="Arial" w:cs="Arial"/>
                <w:sz w:val="18"/>
                <w:szCs w:val="18"/>
              </w:rPr>
            </w:pPr>
          </w:p>
        </w:tc>
        <w:tc>
          <w:tcPr>
            <w:tcW w:w="1418" w:type="dxa"/>
          </w:tcPr>
          <w:p w:rsidR="00D92C70" w:rsidRPr="00C61D39" w:rsidRDefault="00D92C70" w:rsidP="00C61D39">
            <w:pPr>
              <w:overflowPunct/>
              <w:autoSpaceDE/>
              <w:autoSpaceDN/>
              <w:adjustRightInd/>
              <w:spacing w:after="0"/>
              <w:jc w:val="center"/>
              <w:textAlignment w:val="auto"/>
              <w:rPr>
                <w:rFonts w:ascii="Arial" w:hAnsi="Arial" w:cs="Arial"/>
                <w:sz w:val="18"/>
                <w:szCs w:val="18"/>
              </w:rPr>
            </w:pPr>
            <w:r w:rsidRPr="00C61D39">
              <w:rPr>
                <w:rFonts w:ascii="Arial" w:hAnsi="Arial" w:cs="Arial"/>
                <w:sz w:val="18"/>
                <w:szCs w:val="18"/>
              </w:rPr>
              <w:t>B</w:t>
            </w:r>
          </w:p>
        </w:tc>
        <w:tc>
          <w:tcPr>
            <w:tcW w:w="2288" w:type="dxa"/>
          </w:tcPr>
          <w:p w:rsidR="00D92C70" w:rsidRPr="00C61D39" w:rsidRDefault="00D92C70" w:rsidP="00D92C70">
            <w:pPr>
              <w:overflowPunct/>
              <w:autoSpaceDE/>
              <w:autoSpaceDN/>
              <w:adjustRightInd/>
              <w:spacing w:after="0"/>
              <w:textAlignment w:val="auto"/>
              <w:rPr>
                <w:rFonts w:ascii="Arial" w:hAnsi="Arial" w:cs="Arial"/>
                <w:sz w:val="18"/>
                <w:szCs w:val="18"/>
              </w:rPr>
            </w:pPr>
            <w:r w:rsidRPr="00C61D39">
              <w:rPr>
                <w:rFonts w:ascii="Arial" w:hAnsi="Arial" w:cs="Arial"/>
                <w:sz w:val="18"/>
                <w:szCs w:val="18"/>
              </w:rPr>
              <w:t>Not applicable</w:t>
            </w:r>
          </w:p>
        </w:tc>
      </w:tr>
    </w:tbl>
    <w:p w:rsidR="00D92C70" w:rsidRDefault="00D92C70" w:rsidP="00C61D39"/>
    <w:p w:rsidR="00D92C70" w:rsidRDefault="00D92C70" w:rsidP="00C61D39">
      <w:pPr>
        <w:ind w:left="852" w:hanging="852"/>
      </w:pPr>
      <w:r>
        <w:t>Note 1:</w:t>
      </w:r>
      <w:r>
        <w:tab/>
        <w:t xml:space="preserve">Case A: This limit yields a reduced coordination zone with respect to RAS stations. </w:t>
      </w:r>
      <w:r>
        <w:br/>
        <w:t>Case B: For situations where additional baseline is not considered necessary by the concerned Member State (e.g. where there is no nearby RAS station or situation where no coordination zone is required).</w:t>
      </w:r>
    </w:p>
    <w:p w:rsidR="00D92C70" w:rsidRDefault="00E85895" w:rsidP="00E85895">
      <w:pPr>
        <w:ind w:left="852" w:hanging="852"/>
      </w:pPr>
      <w:r>
        <w:t xml:space="preserve">These requirements are based on table 7 of COMMISSION IMPLEMENTING DECISION (EU) 2020/636 </w:t>
      </w:r>
      <w:r>
        <w:rPr>
          <w:lang w:eastAsia="en-GB"/>
        </w:rPr>
        <w:t>[i.5].</w:t>
      </w:r>
    </w:p>
    <w:p w:rsidR="00D92C70" w:rsidRDefault="00D92C70" w:rsidP="00D92C70">
      <w:pPr>
        <w:pStyle w:val="Heading3"/>
      </w:pPr>
      <w:bookmarkStart w:id="115" w:name="_Toc66272927"/>
      <w:commentRangeStart w:id="116"/>
      <w:r>
        <w:t>4.3.2</w:t>
      </w:r>
      <w:r>
        <w:tab/>
      </w:r>
      <w:r w:rsidRPr="008B3D2B">
        <w:t>Testing for compliance with technical requirements</w:t>
      </w:r>
      <w:bookmarkEnd w:id="115"/>
      <w:commentRangeEnd w:id="116"/>
      <w:r w:rsidR="00E85895">
        <w:rPr>
          <w:rStyle w:val="CommentReference"/>
          <w:rFonts w:ascii="Times New Roman" w:hAnsi="Times New Roman"/>
        </w:rPr>
        <w:commentReference w:id="116"/>
      </w:r>
    </w:p>
    <w:p w:rsidR="00E85895" w:rsidRPr="00E85895" w:rsidRDefault="00E85895" w:rsidP="00E85895">
      <w:pPr>
        <w:overflowPunct/>
        <w:autoSpaceDE/>
        <w:autoSpaceDN/>
        <w:adjustRightInd/>
        <w:spacing w:after="0"/>
        <w:textAlignment w:val="auto"/>
        <w:rPr>
          <w:color w:val="000000" w:themeColor="text1"/>
        </w:rPr>
      </w:pPr>
      <w:r w:rsidRPr="00E85895">
        <w:rPr>
          <w:color w:val="000000" w:themeColor="text1"/>
        </w:rPr>
        <w:t xml:space="preserve">For </w:t>
      </w:r>
      <w:r w:rsidRPr="00E85895">
        <w:rPr>
          <w:color w:val="000000" w:themeColor="text1"/>
          <w:lang w:val="en-US" w:eastAsia="zh-CN"/>
        </w:rPr>
        <w:t xml:space="preserve">single RAT NR BS type 1-0 </w:t>
      </w:r>
      <w:r w:rsidRPr="00E85895">
        <w:rPr>
          <w:color w:val="000000" w:themeColor="text1"/>
        </w:rPr>
        <w:t>the test shall be in accordance with TS 138 141-2 [6] clause 6.7.4.4.</w:t>
      </w:r>
    </w:p>
    <w:p w:rsidR="00E85895" w:rsidRPr="00E85895" w:rsidRDefault="00E85895" w:rsidP="00E85895">
      <w:pPr>
        <w:overflowPunct/>
        <w:autoSpaceDE/>
        <w:autoSpaceDN/>
        <w:adjustRightInd/>
        <w:spacing w:after="0"/>
        <w:textAlignment w:val="auto"/>
        <w:rPr>
          <w:color w:val="000000" w:themeColor="text1"/>
        </w:rPr>
      </w:pPr>
      <w:r w:rsidRPr="00E85895">
        <w:rPr>
          <w:color w:val="000000" w:themeColor="text1"/>
        </w:rPr>
        <w:t xml:space="preserve"> </w:t>
      </w:r>
    </w:p>
    <w:p w:rsidR="00E85895" w:rsidRPr="00E85895" w:rsidRDefault="00E85895" w:rsidP="00E85895">
      <w:pPr>
        <w:overflowPunct/>
        <w:autoSpaceDE/>
        <w:autoSpaceDN/>
        <w:adjustRightInd/>
        <w:spacing w:after="0"/>
        <w:textAlignment w:val="auto"/>
        <w:rPr>
          <w:color w:val="000000" w:themeColor="text1"/>
        </w:rPr>
      </w:pPr>
      <w:r w:rsidRPr="00E85895">
        <w:rPr>
          <w:color w:val="000000" w:themeColor="text1"/>
          <w:lang w:val="en-US" w:eastAsia="zh-CN"/>
        </w:rPr>
        <w:t>For AAS BSs the test shall be</w:t>
      </w:r>
      <w:r w:rsidRPr="00E85895">
        <w:rPr>
          <w:color w:val="000000" w:themeColor="text1"/>
        </w:rPr>
        <w:t xml:space="preserve"> in accordance with TS 137 145-2 [8] clause 6.7.5.4. </w:t>
      </w:r>
    </w:p>
    <w:p w:rsidR="00E85895" w:rsidRDefault="00E85895" w:rsidP="004875FC">
      <w:pPr>
        <w:overflowPunct/>
        <w:autoSpaceDE/>
        <w:autoSpaceDN/>
        <w:adjustRightInd/>
        <w:spacing w:after="0"/>
        <w:textAlignment w:val="auto"/>
        <w:rPr>
          <w:highlight w:val="yellow"/>
        </w:rPr>
      </w:pPr>
    </w:p>
    <w:p w:rsidR="00D92C70" w:rsidRPr="00D92C70" w:rsidRDefault="00D92C70" w:rsidP="00B96C98">
      <w:pPr>
        <w:ind w:left="852" w:hanging="852"/>
      </w:pPr>
    </w:p>
    <w:p w:rsidR="00E71784" w:rsidRPr="00E71784" w:rsidRDefault="00E71784" w:rsidP="001209D6">
      <w:pPr>
        <w:pStyle w:val="Heading8"/>
      </w:pPr>
      <w:bookmarkStart w:id="117" w:name="_Toc451533958"/>
      <w:bookmarkStart w:id="118" w:name="_Toc484178393"/>
      <w:bookmarkStart w:id="119" w:name="_Toc484178423"/>
      <w:bookmarkStart w:id="120" w:name="_Toc487532007"/>
      <w:bookmarkStart w:id="121" w:name="_Toc527987205"/>
      <w:bookmarkStart w:id="122" w:name="_Toc66272928"/>
      <w:r w:rsidRPr="00E71784">
        <w:t>Annex A</w:t>
      </w:r>
      <w:r w:rsidR="006B54F6">
        <w:t xml:space="preserve"> </w:t>
      </w:r>
      <w:r w:rsidRPr="00E71784">
        <w:rPr>
          <w:color w:val="000000"/>
        </w:rPr>
        <w:t>(normative</w:t>
      </w:r>
      <w:r w:rsidRPr="00E71784">
        <w:rPr>
          <w:color w:val="76923C"/>
        </w:rPr>
        <w:t xml:space="preserve"> or </w:t>
      </w:r>
      <w:r w:rsidRPr="00E71784">
        <w:rPr>
          <w:color w:val="000000"/>
        </w:rPr>
        <w:t>informative)</w:t>
      </w:r>
      <w:r w:rsidRPr="00E71784">
        <w:t>:</w:t>
      </w:r>
      <w:r w:rsidRPr="00E71784">
        <w:br/>
        <w:t>Title of annex</w:t>
      </w:r>
      <w:bookmarkEnd w:id="117"/>
      <w:bookmarkEnd w:id="118"/>
      <w:bookmarkEnd w:id="119"/>
      <w:bookmarkEnd w:id="120"/>
      <w:bookmarkEnd w:id="121"/>
      <w:bookmarkEnd w:id="122"/>
    </w:p>
    <w:p w:rsidR="00E71784" w:rsidRPr="00E71784" w:rsidRDefault="00E71784" w:rsidP="00E71784"/>
    <w:p w:rsidR="006B54F6" w:rsidRDefault="006B54F6">
      <w:pPr>
        <w:overflowPunct/>
        <w:autoSpaceDE/>
        <w:autoSpaceDN/>
        <w:adjustRightInd/>
        <w:spacing w:after="0"/>
        <w:textAlignment w:val="auto"/>
        <w:rPr>
          <w:rFonts w:ascii="Arial" w:hAnsi="Arial"/>
          <w:sz w:val="36"/>
        </w:rPr>
      </w:pPr>
      <w:r>
        <w:br w:type="page"/>
      </w:r>
    </w:p>
    <w:p w:rsidR="00E71784" w:rsidRPr="00E71784" w:rsidRDefault="00E71784" w:rsidP="00D04C54">
      <w:pPr>
        <w:pStyle w:val="Heading8"/>
      </w:pPr>
      <w:bookmarkStart w:id="123" w:name="_Toc451533959"/>
      <w:bookmarkStart w:id="124" w:name="_Toc484178394"/>
      <w:bookmarkStart w:id="125" w:name="_Toc484178424"/>
      <w:bookmarkStart w:id="126" w:name="_Toc487532008"/>
      <w:bookmarkStart w:id="127" w:name="_Toc527987206"/>
      <w:bookmarkStart w:id="128" w:name="_Toc66272929"/>
      <w:r w:rsidRPr="00E71784">
        <w:t xml:space="preserve">Annex </w:t>
      </w:r>
      <w:r w:rsidRPr="00E71784">
        <w:rPr>
          <w:color w:val="000000"/>
        </w:rPr>
        <w:t>(informative)</w:t>
      </w:r>
      <w:r w:rsidRPr="00E71784">
        <w:t>:</w:t>
      </w:r>
      <w:r w:rsidRPr="00E71784">
        <w:br/>
        <w:t>Bibliography</w:t>
      </w:r>
      <w:bookmarkEnd w:id="123"/>
      <w:bookmarkEnd w:id="124"/>
      <w:bookmarkEnd w:id="125"/>
      <w:bookmarkEnd w:id="126"/>
      <w:bookmarkEnd w:id="127"/>
      <w:bookmarkEnd w:id="128"/>
    </w:p>
    <w:p w:rsidR="00E71784" w:rsidRPr="00E71784" w:rsidRDefault="00E71784" w:rsidP="00E71784">
      <w:pPr>
        <w:pStyle w:val="B1"/>
      </w:pPr>
    </w:p>
    <w:p w:rsidR="006B54F6" w:rsidRDefault="006B54F6">
      <w:pPr>
        <w:overflowPunct/>
        <w:autoSpaceDE/>
        <w:autoSpaceDN/>
        <w:adjustRightInd/>
        <w:spacing w:after="0"/>
        <w:textAlignment w:val="auto"/>
        <w:rPr>
          <w:rStyle w:val="Guidance"/>
          <w:noProof w:val="0"/>
          <w:lang w:val="en-GB"/>
        </w:rPr>
      </w:pPr>
      <w:r>
        <w:rPr>
          <w:rStyle w:val="Guidance"/>
          <w:noProof w:val="0"/>
          <w:lang w:val="en-GB"/>
        </w:rPr>
        <w:br w:type="page"/>
      </w:r>
    </w:p>
    <w:p w:rsidR="00E71784" w:rsidRPr="00E71784" w:rsidRDefault="00E71784" w:rsidP="00D04C54">
      <w:pPr>
        <w:pStyle w:val="Heading8"/>
      </w:pPr>
      <w:bookmarkStart w:id="129" w:name="_Toc451533960"/>
      <w:bookmarkStart w:id="130" w:name="_Toc484178395"/>
      <w:bookmarkStart w:id="131" w:name="_Toc484178425"/>
      <w:bookmarkStart w:id="132" w:name="_Toc487532009"/>
      <w:bookmarkStart w:id="133" w:name="_Toc527987207"/>
      <w:bookmarkStart w:id="134" w:name="_Toc66272930"/>
      <w:r w:rsidRPr="00E71784">
        <w:t xml:space="preserve">Annex </w:t>
      </w:r>
      <w:r w:rsidRPr="00E71784">
        <w:rPr>
          <w:color w:val="000000"/>
        </w:rPr>
        <w:t>(informative)</w:t>
      </w:r>
      <w:r w:rsidRPr="00E71784">
        <w:t>:</w:t>
      </w:r>
      <w:r w:rsidRPr="00E71784">
        <w:br/>
        <w:t>Change History</w:t>
      </w:r>
      <w:bookmarkEnd w:id="129"/>
      <w:bookmarkEnd w:id="130"/>
      <w:bookmarkEnd w:id="131"/>
      <w:bookmarkEnd w:id="132"/>
      <w:bookmarkEnd w:id="133"/>
      <w:bookmarkEnd w:id="13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rsidTr="00E71784">
        <w:trPr>
          <w:tblHeader/>
          <w:jc w:val="center"/>
        </w:trPr>
        <w:tc>
          <w:tcPr>
            <w:tcW w:w="1566" w:type="dxa"/>
            <w:shd w:val="pct10" w:color="auto" w:fill="auto"/>
            <w:vAlign w:val="center"/>
          </w:tcPr>
          <w:p w:rsidR="00E71784" w:rsidRPr="00E71784" w:rsidRDefault="00E71784" w:rsidP="00E71784">
            <w:pPr>
              <w:pStyle w:val="TAH"/>
            </w:pPr>
            <w:r w:rsidRPr="00E71784">
              <w:t>Date</w:t>
            </w:r>
          </w:p>
        </w:tc>
        <w:tc>
          <w:tcPr>
            <w:tcW w:w="810" w:type="dxa"/>
            <w:shd w:val="pct10" w:color="auto" w:fill="auto"/>
            <w:vAlign w:val="center"/>
          </w:tcPr>
          <w:p w:rsidR="00E71784" w:rsidRPr="00E71784" w:rsidRDefault="00E71784" w:rsidP="00E71784">
            <w:pPr>
              <w:pStyle w:val="TAH"/>
            </w:pPr>
            <w:r w:rsidRPr="00E71784">
              <w:t>Version</w:t>
            </w:r>
          </w:p>
        </w:tc>
        <w:tc>
          <w:tcPr>
            <w:tcW w:w="7194" w:type="dxa"/>
            <w:shd w:val="pct10" w:color="auto" w:fill="auto"/>
            <w:vAlign w:val="center"/>
          </w:tcPr>
          <w:p w:rsidR="00E71784" w:rsidRPr="00E71784" w:rsidRDefault="00E71784" w:rsidP="00E71784">
            <w:pPr>
              <w:pStyle w:val="TAH"/>
            </w:pPr>
            <w:r w:rsidRPr="00E71784">
              <w:t>Information about changes</w:t>
            </w:r>
          </w:p>
        </w:tc>
      </w:tr>
      <w:tr w:rsidR="006B54F6" w:rsidRPr="00F72149" w:rsidTr="00DE5D42">
        <w:trPr>
          <w:jc w:val="center"/>
        </w:trPr>
        <w:tc>
          <w:tcPr>
            <w:tcW w:w="1566" w:type="dxa"/>
            <w:vAlign w:val="center"/>
          </w:tcPr>
          <w:p w:rsidR="006B54F6" w:rsidRPr="00F72149" w:rsidRDefault="006B54F6" w:rsidP="00DE5D42">
            <w:pPr>
              <w:pStyle w:val="TAL"/>
            </w:pPr>
            <w:r>
              <w:t>&lt;Month year&gt;</w:t>
            </w:r>
          </w:p>
        </w:tc>
        <w:tc>
          <w:tcPr>
            <w:tcW w:w="810" w:type="dxa"/>
            <w:vAlign w:val="center"/>
          </w:tcPr>
          <w:p w:rsidR="006B54F6" w:rsidRPr="00F72149" w:rsidRDefault="006B54F6" w:rsidP="00DE5D42">
            <w:pPr>
              <w:pStyle w:val="TAC"/>
            </w:pPr>
            <w:r>
              <w:t>&lt;#&gt;</w:t>
            </w:r>
          </w:p>
        </w:tc>
        <w:tc>
          <w:tcPr>
            <w:tcW w:w="7194" w:type="dxa"/>
            <w:vAlign w:val="center"/>
          </w:tcPr>
          <w:p w:rsidR="006B54F6" w:rsidRPr="00F72149" w:rsidRDefault="006B54F6" w:rsidP="00DE5D42">
            <w:pPr>
              <w:pStyle w:val="TAL"/>
            </w:pPr>
            <w:r>
              <w:t>&lt;Changes made are listed in this cell&gt;</w:t>
            </w: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bl>
    <w:p w:rsidR="00E71784" w:rsidRPr="00E71784" w:rsidRDefault="00E71784" w:rsidP="00E71784"/>
    <w:p w:rsidR="006B54F6" w:rsidRDefault="006B54F6">
      <w:pPr>
        <w:overflowPunct/>
        <w:autoSpaceDE/>
        <w:autoSpaceDN/>
        <w:adjustRightInd/>
        <w:spacing w:after="0"/>
        <w:textAlignment w:val="auto"/>
        <w:rPr>
          <w:rFonts w:ascii="Arial" w:hAnsi="Arial"/>
          <w:sz w:val="36"/>
        </w:rPr>
      </w:pPr>
      <w:r>
        <w:br w:type="page"/>
      </w:r>
    </w:p>
    <w:p w:rsidR="00E71784" w:rsidRPr="00E71784" w:rsidRDefault="00E71784" w:rsidP="00E71784">
      <w:pPr>
        <w:pStyle w:val="Heading1"/>
      </w:pPr>
      <w:bookmarkStart w:id="135" w:name="_Toc451533961"/>
      <w:bookmarkStart w:id="136" w:name="_Toc484178396"/>
      <w:bookmarkStart w:id="137" w:name="_Toc484178426"/>
      <w:bookmarkStart w:id="138" w:name="_Toc487532010"/>
      <w:bookmarkStart w:id="139" w:name="_Toc527987208"/>
      <w:bookmarkStart w:id="140" w:name="_Toc66272931"/>
      <w:r w:rsidRPr="00E71784">
        <w:t>History</w:t>
      </w:r>
      <w:bookmarkEnd w:id="135"/>
      <w:bookmarkEnd w:id="136"/>
      <w:bookmarkEnd w:id="137"/>
      <w:bookmarkEnd w:id="138"/>
      <w:bookmarkEnd w:id="139"/>
      <w:bookmarkEnd w:id="140"/>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rsidTr="006B54F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E71784" w:rsidRPr="00E71784" w:rsidRDefault="00E71784" w:rsidP="00E71784">
            <w:pPr>
              <w:spacing w:before="60" w:after="60"/>
              <w:jc w:val="center"/>
              <w:rPr>
                <w:b/>
                <w:sz w:val="24"/>
              </w:rPr>
            </w:pPr>
            <w:r w:rsidRPr="00E71784">
              <w:rPr>
                <w:b/>
                <w:sz w:val="24"/>
              </w:rPr>
              <w:t>Document history</w:t>
            </w:r>
          </w:p>
        </w:tc>
      </w:tr>
      <w:tr w:rsidR="00E71784" w:rsidRPr="00E71784"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118"/>
              </w:tabs>
              <w:spacing w:before="80" w:after="80"/>
              <w:ind w:left="57"/>
            </w:pPr>
            <w:r w:rsidRPr="00E71784">
              <w:t>&lt;Milestone&gt;</w:t>
            </w:r>
          </w:p>
        </w:tc>
      </w:tr>
      <w:tr w:rsidR="00E71784" w:rsidRPr="00E71784"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118"/>
              </w:tabs>
              <w:spacing w:before="80" w:after="80"/>
              <w:ind w:left="57"/>
            </w:pPr>
          </w:p>
        </w:tc>
      </w:tr>
      <w:tr w:rsidR="00E71784" w:rsidRPr="00E71784"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bl>
    <w:p w:rsidR="00E71784" w:rsidRPr="00E71784" w:rsidRDefault="00E71784" w:rsidP="00E71784"/>
    <w:p w:rsidR="00415A26" w:rsidRPr="00E71784" w:rsidRDefault="00E71784" w:rsidP="00E71784">
      <w:pPr>
        <w:rPr>
          <w:rFonts w:ascii="Arial" w:hAnsi="Arial" w:cs="Arial"/>
          <w:i/>
          <w:color w:val="76923C"/>
          <w:sz w:val="18"/>
          <w:szCs w:val="18"/>
        </w:rPr>
      </w:pPr>
      <w:r w:rsidRPr="00E71784">
        <w:rPr>
          <w:rFonts w:ascii="Arial" w:hAnsi="Arial" w:cs="Arial"/>
          <w:i/>
          <w:color w:val="76923C"/>
          <w:sz w:val="18"/>
          <w:szCs w:val="18"/>
        </w:rPr>
        <w:t xml:space="preserve">Latest changes made on </w:t>
      </w:r>
      <w:r w:rsidR="00B6617B">
        <w:rPr>
          <w:rFonts w:ascii="Arial" w:hAnsi="Arial" w:cs="Arial"/>
          <w:i/>
          <w:color w:val="76923C"/>
          <w:sz w:val="18"/>
          <w:szCs w:val="18"/>
        </w:rPr>
        <w:t>201</w:t>
      </w:r>
      <w:r w:rsidR="006F2C5C">
        <w:rPr>
          <w:rFonts w:ascii="Arial" w:hAnsi="Arial" w:cs="Arial"/>
          <w:i/>
          <w:color w:val="76923C"/>
          <w:sz w:val="18"/>
          <w:szCs w:val="18"/>
        </w:rPr>
        <w:t>9</w:t>
      </w:r>
      <w:r w:rsidR="003656EB">
        <w:rPr>
          <w:rFonts w:ascii="Arial" w:hAnsi="Arial" w:cs="Arial"/>
          <w:i/>
          <w:color w:val="76923C"/>
          <w:sz w:val="18"/>
          <w:szCs w:val="18"/>
        </w:rPr>
        <w:t>-</w:t>
      </w:r>
      <w:r w:rsidR="006F2C5C">
        <w:rPr>
          <w:rFonts w:ascii="Arial" w:hAnsi="Arial" w:cs="Arial"/>
          <w:i/>
          <w:color w:val="76923C"/>
          <w:sz w:val="18"/>
          <w:szCs w:val="18"/>
        </w:rPr>
        <w:t>01</w:t>
      </w:r>
      <w:r w:rsidR="00FA3062">
        <w:rPr>
          <w:rFonts w:ascii="Arial" w:hAnsi="Arial" w:cs="Arial"/>
          <w:i/>
          <w:color w:val="76923C"/>
          <w:sz w:val="18"/>
          <w:szCs w:val="18"/>
        </w:rPr>
        <w:t>-</w:t>
      </w:r>
      <w:r w:rsidR="009B5FE7">
        <w:rPr>
          <w:rFonts w:ascii="Arial" w:hAnsi="Arial" w:cs="Arial"/>
          <w:i/>
          <w:color w:val="76923C"/>
          <w:sz w:val="18"/>
          <w:szCs w:val="18"/>
        </w:rPr>
        <w:t>2</w:t>
      </w:r>
      <w:r w:rsidR="006F2C5C">
        <w:rPr>
          <w:rFonts w:ascii="Arial" w:hAnsi="Arial" w:cs="Arial"/>
          <w:i/>
          <w:color w:val="76923C"/>
          <w:sz w:val="18"/>
          <w:szCs w:val="18"/>
        </w:rPr>
        <w:t>9</w:t>
      </w:r>
    </w:p>
    <w:sectPr w:rsidR="00415A26" w:rsidRPr="00E71784">
      <w:headerReference w:type="default" r:id="rId18"/>
      <w:footerReference w:type="default" r:id="rId19"/>
      <w:footnotePr>
        <w:numRestart w:val="eachSect"/>
      </w:foot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1" w:author="Cesar" w:date="2021-06-23T10:08:00Z" w:initials="ED">
    <w:p w:rsidR="00E85895" w:rsidRDefault="00E85895" w:rsidP="00E85895">
      <w:pPr>
        <w:pStyle w:val="CommentText"/>
      </w:pPr>
      <w:r>
        <w:rPr>
          <w:rStyle w:val="CommentReference"/>
        </w:rPr>
        <w:annotationRef/>
      </w:r>
      <w:r>
        <w:t>To be discussed at the ad hoc:</w:t>
      </w:r>
    </w:p>
    <w:p w:rsidR="00E85895" w:rsidRDefault="00E85895" w:rsidP="00E85895">
      <w:pPr>
        <w:pStyle w:val="CommentText"/>
      </w:pPr>
      <w:r>
        <w:t>Proposal to delete this sentence</w:t>
      </w:r>
    </w:p>
  </w:comment>
  <w:comment w:id="103" w:author="Cesar" w:date="2021-06-23T16:03:00Z" w:initials="ED">
    <w:p w:rsidR="00E85895" w:rsidRDefault="00E85895" w:rsidP="00E85895">
      <w:pPr>
        <w:pStyle w:val="CommentText"/>
      </w:pPr>
      <w:r>
        <w:rPr>
          <w:rStyle w:val="CommentReference"/>
        </w:rPr>
        <w:annotationRef/>
      </w:r>
      <w:r>
        <w:t>To be discussed at the ad hoc:</w:t>
      </w:r>
    </w:p>
    <w:p w:rsidR="00E85895" w:rsidRDefault="00E85895" w:rsidP="00E85895">
      <w:pPr>
        <w:pStyle w:val="CommentText"/>
      </w:pPr>
      <w:r>
        <w:t>E-UTRA or/and NR</w:t>
      </w:r>
    </w:p>
    <w:p w:rsidR="00E85895" w:rsidRDefault="00E85895" w:rsidP="00E85895">
      <w:pPr>
        <w:pStyle w:val="CommentText"/>
      </w:pPr>
      <w:r>
        <w:t>Characteristics of the TDD signal</w:t>
      </w:r>
    </w:p>
  </w:comment>
  <w:comment w:id="104" w:author="Cesar" w:date="2021-06-23T17:22:00Z" w:initials="ED">
    <w:p w:rsidR="00E85895" w:rsidRDefault="00E85895" w:rsidP="00E85895">
      <w:pPr>
        <w:pStyle w:val="CommentText"/>
      </w:pPr>
      <w:r>
        <w:rPr>
          <w:rStyle w:val="CommentReference"/>
        </w:rPr>
        <w:annotationRef/>
      </w:r>
      <w:r>
        <w:t>To be discussed at the ad hoc:</w:t>
      </w:r>
    </w:p>
    <w:p w:rsidR="00E85895" w:rsidRDefault="00E85895" w:rsidP="00E85895">
      <w:pPr>
        <w:pStyle w:val="CommentText"/>
      </w:pPr>
      <w:r>
        <w:t>Which values for the interfering signal and the desens to be used for both options</w:t>
      </w:r>
    </w:p>
    <w:p w:rsidR="00E85895" w:rsidRDefault="00E85895">
      <w:pPr>
        <w:pStyle w:val="CommentText"/>
      </w:pPr>
    </w:p>
  </w:comment>
  <w:comment w:id="105" w:author="Cesar" w:date="2021-06-23T17:24:00Z" w:initials="ED">
    <w:p w:rsidR="00E85895" w:rsidRDefault="00E85895" w:rsidP="00E85895">
      <w:pPr>
        <w:pStyle w:val="CommentText"/>
      </w:pPr>
      <w:r>
        <w:rPr>
          <w:rStyle w:val="CommentReference"/>
        </w:rPr>
        <w:annotationRef/>
      </w:r>
      <w:r>
        <w:t>To be discussed at the ad hoc:</w:t>
      </w:r>
    </w:p>
    <w:p w:rsidR="00E85895" w:rsidRDefault="00E85895" w:rsidP="00E85895">
      <w:pPr>
        <w:pStyle w:val="CommentText"/>
        <w:numPr>
          <w:ilvl w:val="0"/>
          <w:numId w:val="42"/>
        </w:numPr>
      </w:pPr>
      <w:r>
        <w:t>Whether to include MR and LA</w:t>
      </w:r>
    </w:p>
    <w:p w:rsidR="00E85895" w:rsidRDefault="00E85895" w:rsidP="00E85895">
      <w:pPr>
        <w:pStyle w:val="CommentText"/>
        <w:numPr>
          <w:ilvl w:val="0"/>
          <w:numId w:val="42"/>
        </w:numPr>
      </w:pPr>
      <w:r>
        <w:t>Values of the interfering signal and the desens parameters</w:t>
      </w:r>
      <w:r w:rsidR="00521F39">
        <w:t xml:space="preserve"> for MR and LA</w:t>
      </w:r>
    </w:p>
  </w:comment>
  <w:comment w:id="107" w:author="Cesar" w:date="2021-06-23T16:07:00Z" w:initials="ED">
    <w:p w:rsidR="00E85895" w:rsidRDefault="00E85895" w:rsidP="00E85895">
      <w:pPr>
        <w:pStyle w:val="CommentText"/>
      </w:pPr>
      <w:r>
        <w:rPr>
          <w:rStyle w:val="CommentReference"/>
        </w:rPr>
        <w:annotationRef/>
      </w:r>
      <w:r>
        <w:t>To be discussed at the ad hoc:</w:t>
      </w:r>
    </w:p>
    <w:p w:rsidR="00E85895" w:rsidRDefault="00E85895" w:rsidP="00E85895">
      <w:pPr>
        <w:pStyle w:val="CommentText"/>
      </w:pPr>
      <w:r>
        <w:t>References to the test suites</w:t>
      </w:r>
    </w:p>
  </w:comment>
  <w:comment w:id="110" w:author="Cesar" w:date="2021-06-23T17:27:00Z" w:initials="ED">
    <w:p w:rsidR="00E85895" w:rsidRDefault="00E85895" w:rsidP="00E85895">
      <w:pPr>
        <w:pStyle w:val="CommentText"/>
      </w:pPr>
      <w:r>
        <w:rPr>
          <w:rStyle w:val="CommentReference"/>
        </w:rPr>
        <w:annotationRef/>
      </w:r>
      <w:r>
        <w:t>To be discussed at the ad hoc:</w:t>
      </w:r>
    </w:p>
    <w:p w:rsidR="00E85895" w:rsidRDefault="00E85895" w:rsidP="00E85895">
      <w:pPr>
        <w:pStyle w:val="CommentText"/>
      </w:pPr>
      <w:r>
        <w:t>Need to specify the lowest frequency for this requirement</w:t>
      </w:r>
    </w:p>
  </w:comment>
  <w:comment w:id="112" w:author="Cesar" w:date="2021-06-23T17:27:00Z" w:initials="ED">
    <w:p w:rsidR="00E85895" w:rsidRDefault="00E85895" w:rsidP="00E85895">
      <w:pPr>
        <w:pStyle w:val="CommentText"/>
      </w:pPr>
      <w:r>
        <w:rPr>
          <w:rStyle w:val="CommentReference"/>
        </w:rPr>
        <w:annotationRef/>
      </w:r>
      <w:r>
        <w:t>To be discussed at the ad hoc:</w:t>
      </w:r>
    </w:p>
    <w:p w:rsidR="00E85895" w:rsidRDefault="00E85895" w:rsidP="00E85895">
      <w:pPr>
        <w:pStyle w:val="CommentText"/>
      </w:pPr>
      <w:r>
        <w:t>References to the test suites</w:t>
      </w:r>
    </w:p>
    <w:p w:rsidR="00E85895" w:rsidRDefault="00E85895">
      <w:pPr>
        <w:pStyle w:val="CommentText"/>
      </w:pPr>
    </w:p>
  </w:comment>
  <w:comment w:id="116" w:author="Cesar" w:date="2021-06-23T17:29:00Z" w:initials="ED">
    <w:p w:rsidR="00E85895" w:rsidRDefault="00E85895" w:rsidP="00E85895">
      <w:pPr>
        <w:pStyle w:val="CommentText"/>
      </w:pPr>
      <w:r>
        <w:rPr>
          <w:rStyle w:val="CommentReference"/>
        </w:rPr>
        <w:annotationRef/>
      </w:r>
      <w:r>
        <w:t>To be discussed at the ad hoc:</w:t>
      </w:r>
    </w:p>
    <w:p w:rsidR="00E85895" w:rsidRDefault="00E85895">
      <w:pPr>
        <w:pStyle w:val="CommentText"/>
      </w:pPr>
      <w:r>
        <w:t>References to the test suites</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A5960" w:rsidRDefault="00BA5960">
      <w:r>
        <w:separator/>
      </w:r>
    </w:p>
  </w:endnote>
  <w:endnote w:type="continuationSeparator" w:id="0">
    <w:p w:rsidR="00BA5960" w:rsidRDefault="00BA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75FC" w:rsidRDefault="004875FC">
    <w:pPr>
      <w:pStyle w:val="Footer"/>
    </w:pPr>
  </w:p>
  <w:p w:rsidR="004875FC" w:rsidRDefault="004875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75FC" w:rsidRDefault="004875FC">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A5960" w:rsidRDefault="00BA5960">
      <w:r>
        <w:separator/>
      </w:r>
    </w:p>
  </w:footnote>
  <w:footnote w:type="continuationSeparator" w:id="0">
    <w:p w:rsidR="00BA5960" w:rsidRDefault="00BA5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75FC" w:rsidRDefault="004875FC">
    <w:pPr>
      <w:pStyle w:val="Header"/>
    </w:pPr>
    <w:r>
      <w:rPr>
        <w:lang w:eastAsia="en-GB"/>
      </w:rPr>
      <w:drawing>
        <wp:anchor distT="0" distB="0" distL="114300" distR="114300" simplePos="0" relativeHeight="251657728" behindDoc="1" locked="0" layoutInCell="1" allowOverlap="1" wp14:anchorId="63142BD9" wp14:editId="17E31EF1">
          <wp:simplePos x="0" y="0"/>
          <wp:positionH relativeFrom="column">
            <wp:posOffset>-100965</wp:posOffset>
          </wp:positionH>
          <wp:positionV relativeFrom="paragraph">
            <wp:posOffset>998220</wp:posOffset>
          </wp:positionV>
          <wp:extent cx="6607810" cy="2876550"/>
          <wp:effectExtent l="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75FC" w:rsidRDefault="004875FC">
    <w:pPr>
      <w:pStyle w:val="Header"/>
      <w:framePr w:wrap="auto" w:vAnchor="text" w:hAnchor="margin" w:xAlign="right" w:y="1"/>
    </w:pPr>
    <w:r>
      <w:fldChar w:fldCharType="begin"/>
    </w:r>
    <w:r>
      <w:instrText xml:space="preserve">styleref ZA </w:instrText>
    </w:r>
    <w:r>
      <w:fldChar w:fldCharType="separate"/>
    </w:r>
    <w:r w:rsidR="00CA5E7E">
      <w:t>ETSI TS 103 807 V1.0.0_0.2.0 (2021-06)</w:t>
    </w:r>
    <w:r>
      <w:fldChar w:fldCharType="end"/>
    </w:r>
  </w:p>
  <w:p w:rsidR="004875FC" w:rsidRDefault="004875FC">
    <w:pPr>
      <w:pStyle w:val="Header"/>
      <w:framePr w:wrap="auto" w:vAnchor="text" w:hAnchor="margin" w:xAlign="center" w:y="1"/>
    </w:pPr>
    <w:r>
      <w:fldChar w:fldCharType="begin"/>
    </w:r>
    <w:r>
      <w:instrText xml:space="preserve">page </w:instrText>
    </w:r>
    <w:r>
      <w:fldChar w:fldCharType="separate"/>
    </w:r>
    <w:r w:rsidR="00317D04">
      <w:t>13</w:t>
    </w:r>
    <w:r>
      <w:fldChar w:fldCharType="end"/>
    </w:r>
  </w:p>
  <w:p w:rsidR="004875FC" w:rsidRDefault="004875FC" w:rsidP="00A301A6">
    <w:pPr>
      <w:pStyle w:val="Header"/>
      <w:framePr w:wrap="auto" w:vAnchor="text" w:hAnchor="margin" w:y="1"/>
    </w:pPr>
    <w:r>
      <w:fldChar w:fldCharType="begin"/>
    </w:r>
    <w:r>
      <w:instrText xml:space="preserve">styleref ZGSM </w:instrText>
    </w:r>
    <w:r>
      <w:fldChar w:fldCharType="end"/>
    </w:r>
  </w:p>
  <w:p w:rsidR="004875FC" w:rsidRDefault="00487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166B47"/>
    <w:multiLevelType w:val="hybridMultilevel"/>
    <w:tmpl w:val="183E5770"/>
    <w:lvl w:ilvl="0" w:tplc="9D96264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D953B90"/>
    <w:multiLevelType w:val="hybridMultilevel"/>
    <w:tmpl w:val="A0322B32"/>
    <w:lvl w:ilvl="0" w:tplc="F02EA6A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7"/>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2"/>
  </w:num>
  <w:num w:numId="25">
    <w:abstractNumId w:val="27"/>
  </w:num>
  <w:num w:numId="26">
    <w:abstractNumId w:val="31"/>
  </w:num>
  <w:num w:numId="27">
    <w:abstractNumId w:val="17"/>
  </w:num>
  <w:num w:numId="28">
    <w:abstractNumId w:val="13"/>
  </w:num>
  <w:num w:numId="29">
    <w:abstractNumId w:val="15"/>
  </w:num>
  <w:num w:numId="30">
    <w:abstractNumId w:val="28"/>
  </w:num>
  <w:num w:numId="31">
    <w:abstractNumId w:val="34"/>
  </w:num>
  <w:num w:numId="32">
    <w:abstractNumId w:val="23"/>
  </w:num>
  <w:num w:numId="33">
    <w:abstractNumId w:val="12"/>
  </w:num>
  <w:num w:numId="34">
    <w:abstractNumId w:val="26"/>
  </w:num>
  <w:num w:numId="35">
    <w:abstractNumId w:val="16"/>
  </w:num>
  <w:num w:numId="36">
    <w:abstractNumId w:val="21"/>
  </w:num>
  <w:num w:numId="37">
    <w:abstractNumId w:val="33"/>
  </w:num>
  <w:num w:numId="38">
    <w:abstractNumId w:val="11"/>
  </w:num>
  <w:num w:numId="39">
    <w:abstractNumId w:val="36"/>
  </w:num>
  <w:num w:numId="40">
    <w:abstractNumId w:val="38"/>
  </w:num>
  <w:num w:numId="41">
    <w:abstractNumId w:val="20"/>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esar">
    <w15:presenceInfo w15:providerId="None" w15:userId="Ces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96F"/>
    <w:rsid w:val="0001732E"/>
    <w:rsid w:val="00036227"/>
    <w:rsid w:val="000401F0"/>
    <w:rsid w:val="00041796"/>
    <w:rsid w:val="00042246"/>
    <w:rsid w:val="00053179"/>
    <w:rsid w:val="000563FC"/>
    <w:rsid w:val="000627EC"/>
    <w:rsid w:val="00062EAA"/>
    <w:rsid w:val="00081795"/>
    <w:rsid w:val="000961EB"/>
    <w:rsid w:val="000B49F2"/>
    <w:rsid w:val="000B62FD"/>
    <w:rsid w:val="000E1E1A"/>
    <w:rsid w:val="000E2572"/>
    <w:rsid w:val="00102FAB"/>
    <w:rsid w:val="00105C64"/>
    <w:rsid w:val="00107A14"/>
    <w:rsid w:val="001106CD"/>
    <w:rsid w:val="001209D6"/>
    <w:rsid w:val="0013779F"/>
    <w:rsid w:val="0018522C"/>
    <w:rsid w:val="001C0050"/>
    <w:rsid w:val="001C0940"/>
    <w:rsid w:val="001E3468"/>
    <w:rsid w:val="001F2032"/>
    <w:rsid w:val="00202C31"/>
    <w:rsid w:val="00223527"/>
    <w:rsid w:val="00257FFB"/>
    <w:rsid w:val="0026012A"/>
    <w:rsid w:val="00263189"/>
    <w:rsid w:val="002766F0"/>
    <w:rsid w:val="00277560"/>
    <w:rsid w:val="002779D4"/>
    <w:rsid w:val="00284AEB"/>
    <w:rsid w:val="002A12D0"/>
    <w:rsid w:val="002C3CC5"/>
    <w:rsid w:val="002E16C6"/>
    <w:rsid w:val="002F5A5F"/>
    <w:rsid w:val="003020CC"/>
    <w:rsid w:val="00306BD9"/>
    <w:rsid w:val="00317D04"/>
    <w:rsid w:val="0032323A"/>
    <w:rsid w:val="003656EB"/>
    <w:rsid w:val="003B4A00"/>
    <w:rsid w:val="003E16E9"/>
    <w:rsid w:val="003E3FE0"/>
    <w:rsid w:val="003F21A8"/>
    <w:rsid w:val="00414D50"/>
    <w:rsid w:val="00415A26"/>
    <w:rsid w:val="0043217D"/>
    <w:rsid w:val="00433DB3"/>
    <w:rsid w:val="00441076"/>
    <w:rsid w:val="00444843"/>
    <w:rsid w:val="00451167"/>
    <w:rsid w:val="00461D0E"/>
    <w:rsid w:val="0046262A"/>
    <w:rsid w:val="00470D4B"/>
    <w:rsid w:val="00486FA9"/>
    <w:rsid w:val="004875FC"/>
    <w:rsid w:val="00491EBF"/>
    <w:rsid w:val="004961D6"/>
    <w:rsid w:val="004B1A91"/>
    <w:rsid w:val="004B4D19"/>
    <w:rsid w:val="004C3200"/>
    <w:rsid w:val="004D0A11"/>
    <w:rsid w:val="004E2EA5"/>
    <w:rsid w:val="004F0B13"/>
    <w:rsid w:val="004F225F"/>
    <w:rsid w:val="004F3A06"/>
    <w:rsid w:val="004F45C9"/>
    <w:rsid w:val="004F6CF9"/>
    <w:rsid w:val="00505D0C"/>
    <w:rsid w:val="00507D21"/>
    <w:rsid w:val="00516444"/>
    <w:rsid w:val="00516E4F"/>
    <w:rsid w:val="00521F39"/>
    <w:rsid w:val="0052439F"/>
    <w:rsid w:val="00527306"/>
    <w:rsid w:val="0053756A"/>
    <w:rsid w:val="005578DD"/>
    <w:rsid w:val="00581017"/>
    <w:rsid w:val="00585BC1"/>
    <w:rsid w:val="00585DAD"/>
    <w:rsid w:val="00596CD2"/>
    <w:rsid w:val="005A18BC"/>
    <w:rsid w:val="005A3F78"/>
    <w:rsid w:val="005B1BAE"/>
    <w:rsid w:val="005C6477"/>
    <w:rsid w:val="005D6092"/>
    <w:rsid w:val="00605096"/>
    <w:rsid w:val="00620C0A"/>
    <w:rsid w:val="00622FD2"/>
    <w:rsid w:val="0062472F"/>
    <w:rsid w:val="00634BDD"/>
    <w:rsid w:val="00637087"/>
    <w:rsid w:val="006516F1"/>
    <w:rsid w:val="006871A9"/>
    <w:rsid w:val="00690423"/>
    <w:rsid w:val="006A1A07"/>
    <w:rsid w:val="006B5094"/>
    <w:rsid w:val="006B54F6"/>
    <w:rsid w:val="006C2005"/>
    <w:rsid w:val="006E51F3"/>
    <w:rsid w:val="006E5952"/>
    <w:rsid w:val="006F2AFA"/>
    <w:rsid w:val="006F2C5C"/>
    <w:rsid w:val="00711235"/>
    <w:rsid w:val="00714C7F"/>
    <w:rsid w:val="007254BD"/>
    <w:rsid w:val="007319BC"/>
    <w:rsid w:val="0074118F"/>
    <w:rsid w:val="00741CD0"/>
    <w:rsid w:val="007554C7"/>
    <w:rsid w:val="00770E2F"/>
    <w:rsid w:val="00773C32"/>
    <w:rsid w:val="0079191A"/>
    <w:rsid w:val="007A45B7"/>
    <w:rsid w:val="007C732A"/>
    <w:rsid w:val="007D37B0"/>
    <w:rsid w:val="007F60BE"/>
    <w:rsid w:val="00804A52"/>
    <w:rsid w:val="00814905"/>
    <w:rsid w:val="00824F11"/>
    <w:rsid w:val="0083781A"/>
    <w:rsid w:val="00840FD6"/>
    <w:rsid w:val="00844723"/>
    <w:rsid w:val="008556B0"/>
    <w:rsid w:val="00857649"/>
    <w:rsid w:val="00860081"/>
    <w:rsid w:val="0086712B"/>
    <w:rsid w:val="00870E02"/>
    <w:rsid w:val="0087570E"/>
    <w:rsid w:val="00875DE9"/>
    <w:rsid w:val="00876650"/>
    <w:rsid w:val="00883ED5"/>
    <w:rsid w:val="00884BBD"/>
    <w:rsid w:val="00891A98"/>
    <w:rsid w:val="0089787C"/>
    <w:rsid w:val="008A54E2"/>
    <w:rsid w:val="008B3D2B"/>
    <w:rsid w:val="00900FAE"/>
    <w:rsid w:val="00904CB6"/>
    <w:rsid w:val="0091015B"/>
    <w:rsid w:val="009173F9"/>
    <w:rsid w:val="00930462"/>
    <w:rsid w:val="00947393"/>
    <w:rsid w:val="0095073F"/>
    <w:rsid w:val="00954681"/>
    <w:rsid w:val="00971E42"/>
    <w:rsid w:val="00972AEE"/>
    <w:rsid w:val="00975CBA"/>
    <w:rsid w:val="0098411D"/>
    <w:rsid w:val="009938DD"/>
    <w:rsid w:val="00997CC9"/>
    <w:rsid w:val="009B3573"/>
    <w:rsid w:val="009B4C6D"/>
    <w:rsid w:val="009B5FE7"/>
    <w:rsid w:val="009C0D52"/>
    <w:rsid w:val="009C6078"/>
    <w:rsid w:val="009D6435"/>
    <w:rsid w:val="009E1681"/>
    <w:rsid w:val="009F3D62"/>
    <w:rsid w:val="009F4E5E"/>
    <w:rsid w:val="009F7746"/>
    <w:rsid w:val="00A034EA"/>
    <w:rsid w:val="00A079A8"/>
    <w:rsid w:val="00A11A73"/>
    <w:rsid w:val="00A15368"/>
    <w:rsid w:val="00A301A6"/>
    <w:rsid w:val="00A34528"/>
    <w:rsid w:val="00A468F1"/>
    <w:rsid w:val="00A7387E"/>
    <w:rsid w:val="00A80DBD"/>
    <w:rsid w:val="00AA7B85"/>
    <w:rsid w:val="00AB2FE0"/>
    <w:rsid w:val="00AB7897"/>
    <w:rsid w:val="00AC4439"/>
    <w:rsid w:val="00AC489E"/>
    <w:rsid w:val="00AF45A5"/>
    <w:rsid w:val="00AF5235"/>
    <w:rsid w:val="00B1557D"/>
    <w:rsid w:val="00B2675F"/>
    <w:rsid w:val="00B501F4"/>
    <w:rsid w:val="00B5265B"/>
    <w:rsid w:val="00B5484C"/>
    <w:rsid w:val="00B61596"/>
    <w:rsid w:val="00B6617B"/>
    <w:rsid w:val="00B661B5"/>
    <w:rsid w:val="00B835EC"/>
    <w:rsid w:val="00B83802"/>
    <w:rsid w:val="00B85DE3"/>
    <w:rsid w:val="00B8609C"/>
    <w:rsid w:val="00B92F68"/>
    <w:rsid w:val="00B96C98"/>
    <w:rsid w:val="00BA5960"/>
    <w:rsid w:val="00BC04BC"/>
    <w:rsid w:val="00BD44F2"/>
    <w:rsid w:val="00BD6FF9"/>
    <w:rsid w:val="00BE5F54"/>
    <w:rsid w:val="00BF1EE4"/>
    <w:rsid w:val="00C27C27"/>
    <w:rsid w:val="00C300FD"/>
    <w:rsid w:val="00C34DE9"/>
    <w:rsid w:val="00C54516"/>
    <w:rsid w:val="00C61D39"/>
    <w:rsid w:val="00C8344F"/>
    <w:rsid w:val="00CA0CDC"/>
    <w:rsid w:val="00CA1ABE"/>
    <w:rsid w:val="00CA5E7E"/>
    <w:rsid w:val="00CB7B1B"/>
    <w:rsid w:val="00CC1ABF"/>
    <w:rsid w:val="00CC22E7"/>
    <w:rsid w:val="00CC49E4"/>
    <w:rsid w:val="00D04C54"/>
    <w:rsid w:val="00D31EC8"/>
    <w:rsid w:val="00D523C6"/>
    <w:rsid w:val="00D619FC"/>
    <w:rsid w:val="00D626BF"/>
    <w:rsid w:val="00D92C70"/>
    <w:rsid w:val="00D97A3D"/>
    <w:rsid w:val="00DA2ED5"/>
    <w:rsid w:val="00DC3F36"/>
    <w:rsid w:val="00DD625C"/>
    <w:rsid w:val="00DE5D42"/>
    <w:rsid w:val="00E10FB5"/>
    <w:rsid w:val="00E33688"/>
    <w:rsid w:val="00E35133"/>
    <w:rsid w:val="00E460F8"/>
    <w:rsid w:val="00E645A3"/>
    <w:rsid w:val="00E71784"/>
    <w:rsid w:val="00E73B42"/>
    <w:rsid w:val="00E85895"/>
    <w:rsid w:val="00EA2224"/>
    <w:rsid w:val="00EA3774"/>
    <w:rsid w:val="00EA3A0A"/>
    <w:rsid w:val="00EB170F"/>
    <w:rsid w:val="00EC702F"/>
    <w:rsid w:val="00EF19D6"/>
    <w:rsid w:val="00EF39DF"/>
    <w:rsid w:val="00F03CF4"/>
    <w:rsid w:val="00F059B0"/>
    <w:rsid w:val="00F115DD"/>
    <w:rsid w:val="00F1200C"/>
    <w:rsid w:val="00F24FC5"/>
    <w:rsid w:val="00F356D2"/>
    <w:rsid w:val="00F52C10"/>
    <w:rsid w:val="00F537C6"/>
    <w:rsid w:val="00F71860"/>
    <w:rsid w:val="00F82B8F"/>
    <w:rsid w:val="00FA3062"/>
    <w:rsid w:val="00FB2D7D"/>
    <w:rsid w:val="00FB7C3A"/>
    <w:rsid w:val="00FC41E1"/>
    <w:rsid w:val="00FD49A2"/>
    <w:rsid w:val="00FD7EA9"/>
    <w:rsid w:val="00FF0BA6"/>
    <w:rsid w:val="00FF24C2"/>
    <w:rsid w:val="00FF3E6E"/>
    <w:rsid w:val="00FF54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95C61"/>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uiPriority w:val="39"/>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link w:val="TALChar"/>
    <w:qFormat/>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link w:val="TAHCar"/>
    <w:rsid w:val="00900FAE"/>
    <w:rPr>
      <w:b/>
    </w:rPr>
  </w:style>
  <w:style w:type="paragraph" w:customStyle="1" w:styleId="TAC">
    <w:name w:val="TAC"/>
    <w:basedOn w:val="TAL"/>
    <w:link w:val="TACChar"/>
    <w:qFormat/>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link w:val="B1Char"/>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link w:val="THChar"/>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link w:val="B1Car"/>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character" w:customStyle="1" w:styleId="TALChar">
    <w:name w:val="TAL Char"/>
    <w:link w:val="TAL"/>
    <w:qFormat/>
    <w:locked/>
    <w:rsid w:val="000B49F2"/>
    <w:rPr>
      <w:rFonts w:ascii="Arial" w:hAnsi="Arial"/>
      <w:sz w:val="18"/>
      <w:lang w:eastAsia="en-US"/>
    </w:rPr>
  </w:style>
  <w:style w:type="character" w:customStyle="1" w:styleId="TACChar">
    <w:name w:val="TAC Char"/>
    <w:link w:val="TAC"/>
    <w:qFormat/>
    <w:locked/>
    <w:rsid w:val="000B49F2"/>
    <w:rPr>
      <w:rFonts w:ascii="Arial" w:hAnsi="Arial"/>
      <w:sz w:val="18"/>
      <w:lang w:eastAsia="en-US"/>
    </w:rPr>
  </w:style>
  <w:style w:type="character" w:customStyle="1" w:styleId="B1Char">
    <w:name w:val="B1 Char"/>
    <w:link w:val="B10"/>
    <w:locked/>
    <w:rsid w:val="000B49F2"/>
    <w:rPr>
      <w:lang w:eastAsia="en-US"/>
    </w:rPr>
  </w:style>
  <w:style w:type="character" w:customStyle="1" w:styleId="THChar">
    <w:name w:val="TH Char"/>
    <w:link w:val="TH"/>
    <w:qFormat/>
    <w:locked/>
    <w:rsid w:val="000B49F2"/>
    <w:rPr>
      <w:rFonts w:ascii="Arial" w:hAnsi="Arial"/>
      <w:b/>
      <w:lang w:eastAsia="en-US"/>
    </w:rPr>
  </w:style>
  <w:style w:type="character" w:customStyle="1" w:styleId="TANChar">
    <w:name w:val="TAN Char"/>
    <w:link w:val="TAN"/>
    <w:qFormat/>
    <w:locked/>
    <w:rsid w:val="000B49F2"/>
    <w:rPr>
      <w:rFonts w:ascii="Arial" w:hAnsi="Arial"/>
      <w:sz w:val="18"/>
      <w:lang w:eastAsia="en-US"/>
    </w:rPr>
  </w:style>
  <w:style w:type="character" w:customStyle="1" w:styleId="TAHCar">
    <w:name w:val="TAH Car"/>
    <w:link w:val="TAH"/>
    <w:locked/>
    <w:rsid w:val="000B49F2"/>
    <w:rPr>
      <w:rFonts w:ascii="Arial" w:hAnsi="Arial"/>
      <w:b/>
      <w:sz w:val="18"/>
      <w:lang w:eastAsia="en-US"/>
    </w:rPr>
  </w:style>
  <w:style w:type="character" w:customStyle="1" w:styleId="EXChar">
    <w:name w:val="EX Char"/>
    <w:link w:val="EX"/>
    <w:locked/>
    <w:rsid w:val="001E3468"/>
    <w:rPr>
      <w:lang w:eastAsia="en-US"/>
    </w:rPr>
  </w:style>
  <w:style w:type="character" w:customStyle="1" w:styleId="B1Car">
    <w:name w:val="B1+ Car"/>
    <w:link w:val="B1"/>
    <w:rsid w:val="00E73B42"/>
    <w:rPr>
      <w:lang w:eastAsia="en-US"/>
    </w:rPr>
  </w:style>
  <w:style w:type="paragraph" w:styleId="CommentSubject">
    <w:name w:val="annotation subject"/>
    <w:basedOn w:val="CommentText"/>
    <w:next w:val="CommentText"/>
    <w:link w:val="CommentSubjectChar"/>
    <w:rsid w:val="00A034EA"/>
    <w:rPr>
      <w:b/>
      <w:bCs/>
    </w:rPr>
  </w:style>
  <w:style w:type="character" w:customStyle="1" w:styleId="CommentTextChar">
    <w:name w:val="Comment Text Char"/>
    <w:basedOn w:val="DefaultParagraphFont"/>
    <w:link w:val="CommentText"/>
    <w:semiHidden/>
    <w:rsid w:val="00A034EA"/>
    <w:rPr>
      <w:lang w:eastAsia="en-US"/>
    </w:rPr>
  </w:style>
  <w:style w:type="character" w:customStyle="1" w:styleId="CommentSubjectChar">
    <w:name w:val="Comment Subject Char"/>
    <w:basedOn w:val="CommentTextChar"/>
    <w:link w:val="CommentSubject"/>
    <w:rsid w:val="00A034EA"/>
    <w:rPr>
      <w:b/>
      <w:bCs/>
      <w:lang w:eastAsia="en-US"/>
    </w:rPr>
  </w:style>
  <w:style w:type="paragraph" w:customStyle="1" w:styleId="Default">
    <w:name w:val="Default"/>
    <w:rsid w:val="004B4D19"/>
    <w:pPr>
      <w:autoSpaceDE w:val="0"/>
      <w:autoSpaceDN w:val="0"/>
      <w:adjustRightInd w:val="0"/>
    </w:pPr>
    <w:rPr>
      <w:rFonts w:ascii="Arial" w:hAnsi="Arial" w:cs="Arial"/>
      <w:color w:val="000000"/>
      <w:sz w:val="24"/>
      <w:szCs w:val="24"/>
    </w:rPr>
  </w:style>
  <w:style w:type="table" w:styleId="TableGrid">
    <w:name w:val="Table Grid"/>
    <w:basedOn w:val="TableNormal"/>
    <w:rsid w:val="004B4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45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717095711">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936015745">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841193379">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210214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ortal.etsi.org/People/CommiteeSupportStaff.aspx"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hyperlink" Target="https://docbox.etsi.org/Referenc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 TargetMode="Externa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10" Type="http://schemas.openxmlformats.org/officeDocument/2006/relationships/hyperlink" Target="http://www.etsi.org/standards-searc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pr.etsi.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3DDE4-743F-4D91-8E0A-9EB4D544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Pages>
  <Words>2874</Words>
  <Characters>16385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19221</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MCC</cp:lastModifiedBy>
  <cp:revision>1</cp:revision>
  <cp:lastPrinted>2010-05-07T16:38:00Z</cp:lastPrinted>
  <dcterms:created xsi:type="dcterms:W3CDTF">2021-07-16T06:14:00Z</dcterms:created>
  <dcterms:modified xsi:type="dcterms:W3CDTF">2021-07-16T06:14:00Z</dcterms:modified>
</cp:coreProperties>
</file>